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C8CE3" w14:textId="77777777" w:rsidR="00FA6274" w:rsidRDefault="00FA6274" w:rsidP="00FA6274">
      <w:pPr>
        <w:spacing w:line="280" w:lineRule="atLeast"/>
      </w:pPr>
      <w:bookmarkStart w:id="0" w:name="_GoBack"/>
      <w:bookmarkEnd w:id="0"/>
    </w:p>
    <w:tbl>
      <w:tblPr>
        <w:tblW w:w="0" w:type="auto"/>
        <w:tblLayout w:type="fixed"/>
        <w:tblCellMar>
          <w:left w:w="70" w:type="dxa"/>
          <w:right w:w="70" w:type="dxa"/>
        </w:tblCellMar>
        <w:tblLook w:val="0000" w:firstRow="0" w:lastRow="0" w:firstColumn="0" w:lastColumn="0" w:noHBand="0" w:noVBand="0"/>
      </w:tblPr>
      <w:tblGrid>
        <w:gridCol w:w="2408"/>
      </w:tblGrid>
      <w:tr w:rsidR="00FA6274" w14:paraId="156C8CE5" w14:textId="77777777" w:rsidTr="00AE3AA6">
        <w:trPr>
          <w:trHeight w:hRule="exact" w:val="2410"/>
        </w:trPr>
        <w:tc>
          <w:tcPr>
            <w:tcW w:w="2408" w:type="dxa"/>
          </w:tcPr>
          <w:p w14:paraId="156C8CE4" w14:textId="77777777" w:rsidR="00FA6274" w:rsidRDefault="00FA6274" w:rsidP="00B91F8E">
            <w:pPr>
              <w:pStyle w:val="skakt"/>
              <w:keepNext/>
              <w:keepLines/>
              <w:framePr w:w="0" w:h="8505" w:hRule="exact" w:wrap="around" w:vAnchor="page" w:y="2467"/>
            </w:pPr>
          </w:p>
        </w:tc>
      </w:tr>
      <w:tr w:rsidR="00FA6274" w14:paraId="156C8CEE" w14:textId="77777777" w:rsidTr="001E553E">
        <w:trPr>
          <w:trHeight w:val="10950"/>
        </w:trPr>
        <w:tc>
          <w:tcPr>
            <w:tcW w:w="2408" w:type="dxa"/>
          </w:tcPr>
          <w:p w14:paraId="156C8CE6" w14:textId="77777777" w:rsidR="00B91F8E" w:rsidRDefault="00B91F8E" w:rsidP="005571D1">
            <w:pPr>
              <w:pStyle w:val="skakt"/>
              <w:framePr w:w="0" w:h="8505" w:hRule="exact" w:wrap="around" w:vAnchor="page" w:y="2467"/>
              <w:rPr>
                <w:rFonts w:ascii="Arial Black" w:hAnsi="Arial Black"/>
                <w:sz w:val="13"/>
              </w:rPr>
            </w:pPr>
          </w:p>
          <w:p w14:paraId="156C8CE7" w14:textId="77777777" w:rsidR="00B91F8E" w:rsidRDefault="00B91F8E" w:rsidP="005571D1">
            <w:pPr>
              <w:pStyle w:val="skakt"/>
              <w:framePr w:w="0" w:h="8505" w:hRule="exact" w:wrap="around" w:vAnchor="page" w:y="2467"/>
              <w:rPr>
                <w:rFonts w:ascii="Arial Black" w:hAnsi="Arial Black"/>
                <w:sz w:val="13"/>
              </w:rPr>
            </w:pPr>
          </w:p>
          <w:p w14:paraId="156C8CE8" w14:textId="77777777" w:rsidR="00976855" w:rsidRDefault="00404121" w:rsidP="005571D1">
            <w:pPr>
              <w:pStyle w:val="skakt"/>
              <w:framePr w:w="0" w:h="8505" w:hRule="exact" w:wrap="around" w:vAnchor="page" w:y="2467"/>
              <w:rPr>
                <w:rFonts w:ascii="Arial Black" w:hAnsi="Arial Black"/>
                <w:sz w:val="13"/>
              </w:rPr>
            </w:pPr>
            <w:r>
              <w:rPr>
                <w:rFonts w:ascii="Arial Black" w:hAnsi="Arial Black"/>
                <w:sz w:val="13"/>
              </w:rPr>
              <w:t xml:space="preserve">KONKURRENCE- OG </w:t>
            </w:r>
          </w:p>
          <w:p w14:paraId="156C8CE9" w14:textId="77777777" w:rsidR="00404121" w:rsidRDefault="00404121" w:rsidP="005571D1">
            <w:pPr>
              <w:pStyle w:val="skakt"/>
              <w:framePr w:w="0" w:h="8505" w:hRule="exact" w:wrap="around" w:vAnchor="page" w:y="2467"/>
              <w:rPr>
                <w:rFonts w:ascii="Arial Black" w:hAnsi="Arial Black"/>
                <w:sz w:val="13"/>
              </w:rPr>
            </w:pPr>
            <w:r>
              <w:rPr>
                <w:rFonts w:ascii="Arial Black" w:hAnsi="Arial Black"/>
                <w:sz w:val="13"/>
              </w:rPr>
              <w:t>FORBRUGERSTYRELSEN</w:t>
            </w:r>
          </w:p>
          <w:p w14:paraId="156C8CEA" w14:textId="77777777" w:rsidR="00404121" w:rsidRDefault="00404121" w:rsidP="005571D1">
            <w:pPr>
              <w:pStyle w:val="datomv"/>
              <w:framePr w:h="8505" w:hRule="exact" w:wrap="around" w:vAnchor="page" w:x="8931" w:y="2467"/>
              <w:spacing w:line="220" w:lineRule="exact"/>
            </w:pPr>
          </w:p>
          <w:p w14:paraId="156C8CEB" w14:textId="77777777" w:rsidR="00404121" w:rsidRDefault="00404121" w:rsidP="005571D1">
            <w:pPr>
              <w:pStyle w:val="datomv"/>
              <w:framePr w:h="8505" w:hRule="exact" w:wrap="around" w:vAnchor="page" w:x="8931" w:y="2467"/>
              <w:spacing w:line="220" w:lineRule="exact"/>
            </w:pPr>
          </w:p>
          <w:p w14:paraId="156C8CEC" w14:textId="77777777" w:rsidR="00404121" w:rsidRDefault="00404121" w:rsidP="005571D1">
            <w:pPr>
              <w:pStyle w:val="datomv"/>
              <w:framePr w:h="8505" w:hRule="exact" w:wrap="around" w:vAnchor="page" w:x="8931" w:y="2467"/>
            </w:pPr>
          </w:p>
          <w:p w14:paraId="156C8CED" w14:textId="77777777" w:rsidR="00FA6274" w:rsidRDefault="00404121" w:rsidP="00ED5F01">
            <w:pPr>
              <w:pStyle w:val="datomv"/>
              <w:keepNext/>
              <w:keepLines/>
              <w:framePr w:h="8505" w:hRule="exact" w:wrap="around" w:vAnchor="page" w:x="8931" w:y="2467"/>
            </w:pPr>
            <w:r>
              <w:rPr>
                <w:rFonts w:ascii="Arial Black" w:hAnsi="Arial Black"/>
                <w:sz w:val="12"/>
              </w:rPr>
              <w:t>ERHVERVSMINISTERIET</w:t>
            </w:r>
          </w:p>
        </w:tc>
      </w:tr>
    </w:tbl>
    <w:tbl>
      <w:tblPr>
        <w:tblW w:w="7258" w:type="dxa"/>
        <w:tblLayout w:type="fixed"/>
        <w:tblCellMar>
          <w:left w:w="0" w:type="dxa"/>
          <w:right w:w="0" w:type="dxa"/>
        </w:tblCellMar>
        <w:tblLook w:val="0000" w:firstRow="0" w:lastRow="0" w:firstColumn="0" w:lastColumn="0" w:noHBand="0" w:noVBand="0"/>
      </w:tblPr>
      <w:tblGrid>
        <w:gridCol w:w="7258"/>
      </w:tblGrid>
      <w:tr w:rsidR="00B91F8E" w14:paraId="156C8CF0" w14:textId="77777777" w:rsidTr="00B91F8E">
        <w:trPr>
          <w:cantSplit/>
          <w:trHeight w:hRule="exact" w:val="2268"/>
        </w:trPr>
        <w:tc>
          <w:tcPr>
            <w:tcW w:w="7258" w:type="dxa"/>
          </w:tcPr>
          <w:p w14:paraId="156C8CEF" w14:textId="77777777" w:rsidR="00B91F8E" w:rsidRPr="00A03B19" w:rsidRDefault="00B91F8E" w:rsidP="003B2B69">
            <w:pPr>
              <w:pStyle w:val="Overskrift2"/>
              <w:jc w:val="center"/>
              <w:rPr>
                <w:i w:val="0"/>
              </w:rPr>
            </w:pPr>
            <w:r>
              <w:rPr>
                <w:i w:val="0"/>
              </w:rPr>
              <w:t xml:space="preserve">                           </w:t>
            </w:r>
            <w:r w:rsidRPr="00A03B19">
              <w:rPr>
                <w:i w:val="0"/>
              </w:rPr>
              <w:t>SVARSKRIFT</w:t>
            </w:r>
          </w:p>
        </w:tc>
      </w:tr>
    </w:tbl>
    <w:p w14:paraId="156C8CF1" w14:textId="77777777" w:rsidR="00B91F8E" w:rsidRDefault="00B91F8E" w:rsidP="00B91F8E">
      <w:bookmarkStart w:id="1" w:name="PCAoverskrift"/>
      <w:bookmarkEnd w:id="1"/>
      <w:r>
        <w:t xml:space="preserve">i Konkurrenceankenævnets sag j.nr. </w:t>
      </w:r>
      <w:r w:rsidRPr="00B14173">
        <w:rPr>
          <w:color w:val="808080"/>
        </w:rPr>
        <w:t>[</w:t>
      </w:r>
      <w:proofErr w:type="spellStart"/>
      <w:r w:rsidRPr="00B14173">
        <w:rPr>
          <w:color w:val="808080"/>
        </w:rPr>
        <w:t>åååå-xxxxxxx</w:t>
      </w:r>
      <w:proofErr w:type="spellEnd"/>
      <w:r w:rsidRPr="00B14173">
        <w:rPr>
          <w:color w:val="808080"/>
        </w:rPr>
        <w:t>]</w:t>
      </w:r>
      <w:r>
        <w:t>:</w:t>
      </w:r>
      <w:r>
        <w:tab/>
      </w:r>
      <w:r>
        <w:tab/>
      </w:r>
    </w:p>
    <w:p w14:paraId="156C8CF2" w14:textId="77777777" w:rsidR="00B91F8E" w:rsidRDefault="00B91F8E" w:rsidP="00B91F8E"/>
    <w:p w14:paraId="156C8CF3" w14:textId="77777777" w:rsidR="00B91F8E" w:rsidRPr="00B14173" w:rsidRDefault="00B91F8E" w:rsidP="00B91F8E">
      <w:pPr>
        <w:jc w:val="right"/>
      </w:pPr>
      <w:r>
        <w:rPr>
          <w:color w:val="808080"/>
        </w:rPr>
        <w:t>[Virksomhedens navn</w:t>
      </w:r>
      <w:r>
        <w:t>]</w:t>
      </w:r>
    </w:p>
    <w:p w14:paraId="156C8CF4" w14:textId="77777777" w:rsidR="00B91F8E" w:rsidRPr="00B14173" w:rsidRDefault="00B91F8E" w:rsidP="00B91F8E">
      <w:pPr>
        <w:jc w:val="right"/>
        <w:rPr>
          <w:color w:val="808080"/>
          <w:szCs w:val="24"/>
        </w:rPr>
      </w:pPr>
      <w:r w:rsidRPr="003F6162">
        <w:rPr>
          <w:szCs w:val="24"/>
        </w:rPr>
        <w:t xml:space="preserve">v/advokat </w:t>
      </w:r>
      <w:r>
        <w:rPr>
          <w:color w:val="808080"/>
          <w:szCs w:val="24"/>
        </w:rPr>
        <w:t>[navn]</w:t>
      </w:r>
    </w:p>
    <w:p w14:paraId="156C8CF5" w14:textId="77777777" w:rsidR="00B91F8E" w:rsidRPr="00EE4D8B" w:rsidRDefault="00B91F8E" w:rsidP="00B91F8E"/>
    <w:p w14:paraId="156C8CF6" w14:textId="77777777" w:rsidR="00B91F8E" w:rsidRDefault="00B91F8E" w:rsidP="00B91F8E">
      <w:pPr>
        <w:jc w:val="right"/>
      </w:pPr>
      <w:r>
        <w:t>mod</w:t>
      </w:r>
    </w:p>
    <w:p w14:paraId="156C8CF7" w14:textId="77777777" w:rsidR="00B91F8E" w:rsidRDefault="00B91F8E" w:rsidP="00B91F8E">
      <w:pPr>
        <w:jc w:val="right"/>
      </w:pPr>
    </w:p>
    <w:p w14:paraId="156C8CF8" w14:textId="77777777" w:rsidR="00B91F8E" w:rsidRDefault="00B91F8E" w:rsidP="00B91F8E">
      <w:pPr>
        <w:jc w:val="right"/>
      </w:pPr>
      <w:r>
        <w:t>Konkurrencerådet</w:t>
      </w:r>
    </w:p>
    <w:p w14:paraId="156C8CF9" w14:textId="77777777" w:rsidR="00B91F8E" w:rsidRDefault="00B91F8E" w:rsidP="00B91F8E">
      <w:pPr>
        <w:jc w:val="right"/>
        <w:rPr>
          <w:color w:val="808080"/>
        </w:rPr>
      </w:pPr>
      <w:r>
        <w:t>v/</w:t>
      </w:r>
      <w:r>
        <w:rPr>
          <w:color w:val="808080"/>
        </w:rPr>
        <w:t>[titel og navn]</w:t>
      </w:r>
    </w:p>
    <w:p w14:paraId="156C8CFA" w14:textId="77777777" w:rsidR="00B91F8E" w:rsidRDefault="00B91F8E" w:rsidP="00B91F8E">
      <w:pPr>
        <w:jc w:val="right"/>
        <w:rPr>
          <w:color w:val="808080"/>
        </w:rPr>
      </w:pPr>
    </w:p>
    <w:p w14:paraId="156C8CFB" w14:textId="77777777" w:rsidR="00B91F8E" w:rsidRDefault="00B91F8E" w:rsidP="00B91F8E">
      <w:pPr>
        <w:tabs>
          <w:tab w:val="left" w:pos="2925"/>
        </w:tabs>
        <w:rPr>
          <w:color w:val="808080"/>
        </w:rPr>
      </w:pPr>
      <w:r>
        <w:rPr>
          <w:color w:val="808080"/>
        </w:rPr>
        <w:tab/>
      </w:r>
    </w:p>
    <w:p w14:paraId="156C8CFC" w14:textId="77777777" w:rsidR="00B91F8E" w:rsidRDefault="00B91F8E" w:rsidP="00B91F8E">
      <w:pPr>
        <w:jc w:val="right"/>
        <w:rPr>
          <w:color w:val="808080"/>
        </w:rPr>
      </w:pPr>
    </w:p>
    <w:p w14:paraId="156C8CFD" w14:textId="77777777" w:rsidR="00B91F8E" w:rsidRDefault="00B91F8E" w:rsidP="00B91F8E">
      <w:pPr>
        <w:jc w:val="right"/>
        <w:rPr>
          <w:color w:val="808080"/>
        </w:rPr>
      </w:pPr>
    </w:p>
    <w:p w14:paraId="156C8CFE" w14:textId="77777777" w:rsidR="00B91F8E" w:rsidRDefault="00B91F8E" w:rsidP="00B91F8E">
      <w:pPr>
        <w:jc w:val="right"/>
        <w:rPr>
          <w:color w:val="808080"/>
        </w:rPr>
      </w:pPr>
    </w:p>
    <w:p w14:paraId="156C8CFF" w14:textId="77777777" w:rsidR="00B91F8E" w:rsidRDefault="00B91F8E" w:rsidP="00B91F8E">
      <w:pPr>
        <w:jc w:val="right"/>
      </w:pPr>
    </w:p>
    <w:p w14:paraId="156C8D00" w14:textId="77777777" w:rsidR="00B91F8E" w:rsidRDefault="00B91F8E" w:rsidP="00B91F8E"/>
    <w:p w14:paraId="156C8D01" w14:textId="77777777" w:rsidR="00B91F8E" w:rsidRDefault="00B91F8E" w:rsidP="00B91F8E">
      <w:pPr>
        <w:jc w:val="both"/>
      </w:pPr>
      <w:r>
        <w:t>I ovennævnte sag nedlægger Konkurrencerådet følgende</w:t>
      </w:r>
    </w:p>
    <w:p w14:paraId="156C8D02" w14:textId="77777777" w:rsidR="00B91F8E" w:rsidRDefault="00B91F8E" w:rsidP="00B91F8E"/>
    <w:p w14:paraId="156C8D03" w14:textId="77777777" w:rsidR="00B91F8E" w:rsidRDefault="00B91F8E" w:rsidP="00B91F8E">
      <w:pPr>
        <w:pStyle w:val="Overskrift3"/>
      </w:pPr>
      <w:r w:rsidRPr="00E7250E">
        <w:rPr>
          <w:u w:val="single"/>
        </w:rPr>
        <w:t>PÅSTAND</w:t>
      </w:r>
      <w:r>
        <w:rPr>
          <w:u w:val="single"/>
        </w:rPr>
        <w:t>(E):</w:t>
      </w:r>
    </w:p>
    <w:p w14:paraId="156C8D04" w14:textId="77777777" w:rsidR="00B91F8E" w:rsidRDefault="00B91F8E" w:rsidP="00B91F8E"/>
    <w:p w14:paraId="156C8D05" w14:textId="77777777" w:rsidR="00B91F8E" w:rsidRPr="00A03B19" w:rsidRDefault="00B91F8E" w:rsidP="00B91F8E">
      <w:pPr>
        <w:pStyle w:val="Overskrift1"/>
        <w:rPr>
          <w:rFonts w:ascii="Arial" w:hAnsi="Arial"/>
          <w:sz w:val="26"/>
        </w:rPr>
      </w:pPr>
      <w:r>
        <w:t>Principalt:</w:t>
      </w:r>
    </w:p>
    <w:p w14:paraId="156C8D06" w14:textId="77777777" w:rsidR="00B91F8E" w:rsidRPr="00C6045A" w:rsidRDefault="00B91F8E" w:rsidP="00B91F8E">
      <w:r w:rsidRPr="00C6045A">
        <w:t xml:space="preserve">Stadfæstelse af Konkurrencerådets afgørelse af </w:t>
      </w:r>
      <w:r w:rsidRPr="00C6045A">
        <w:rPr>
          <w:color w:val="808080"/>
        </w:rPr>
        <w:t>[dato]</w:t>
      </w:r>
      <w:r w:rsidRPr="00C6045A">
        <w:t xml:space="preserve"> til </w:t>
      </w:r>
      <w:r w:rsidRPr="00C6045A">
        <w:rPr>
          <w:color w:val="808080"/>
        </w:rPr>
        <w:t>[virksomhedens navn]</w:t>
      </w:r>
      <w:r w:rsidRPr="00C6045A">
        <w:t>.</w:t>
      </w:r>
    </w:p>
    <w:p w14:paraId="156C8D07" w14:textId="77777777" w:rsidR="00B91F8E" w:rsidRPr="00C6045A" w:rsidRDefault="00B91F8E" w:rsidP="00B91F8E">
      <w:pPr>
        <w:jc w:val="both"/>
        <w:rPr>
          <w:szCs w:val="24"/>
        </w:rPr>
      </w:pPr>
    </w:p>
    <w:p w14:paraId="156C8D08" w14:textId="77777777" w:rsidR="00B91F8E" w:rsidRPr="00C6045A" w:rsidRDefault="00B91F8E" w:rsidP="00B91F8E">
      <w:pPr>
        <w:pStyle w:val="Overskrift1"/>
      </w:pPr>
      <w:r w:rsidRPr="00C6045A">
        <w:t>Subsidiært:</w:t>
      </w:r>
    </w:p>
    <w:p w14:paraId="156C8D09" w14:textId="77777777" w:rsidR="00B91F8E" w:rsidRPr="00C6045A" w:rsidRDefault="00B91F8E" w:rsidP="00B91F8E">
      <w:pPr>
        <w:rPr>
          <w:szCs w:val="24"/>
        </w:rPr>
      </w:pPr>
      <w:r w:rsidRPr="00C6045A">
        <w:rPr>
          <w:szCs w:val="24"/>
        </w:rPr>
        <w:t xml:space="preserve">Hjemvisning af Konkurrencerådets afgørelse af </w:t>
      </w:r>
      <w:r w:rsidRPr="00C6045A">
        <w:rPr>
          <w:color w:val="808080"/>
          <w:szCs w:val="24"/>
        </w:rPr>
        <w:t>[dato]</w:t>
      </w:r>
      <w:r w:rsidRPr="00C6045A">
        <w:rPr>
          <w:szCs w:val="24"/>
        </w:rPr>
        <w:t xml:space="preserve"> til </w:t>
      </w:r>
      <w:r w:rsidRPr="00C6045A">
        <w:rPr>
          <w:color w:val="808080"/>
          <w:szCs w:val="24"/>
        </w:rPr>
        <w:t xml:space="preserve">[virksomhedens navn] </w:t>
      </w:r>
      <w:r w:rsidRPr="00C6045A">
        <w:rPr>
          <w:szCs w:val="24"/>
        </w:rPr>
        <w:t>til fornyet behandling.”</w:t>
      </w:r>
    </w:p>
    <w:p w14:paraId="156C8D0A" w14:textId="77777777" w:rsidR="00B91F8E" w:rsidRDefault="00B91F8E" w:rsidP="00B91F8E"/>
    <w:p w14:paraId="156C8D0B" w14:textId="77777777" w:rsidR="00B91F8E" w:rsidRDefault="00B91F8E" w:rsidP="00B91F8E">
      <w:pPr>
        <w:rPr>
          <w:color w:val="808080"/>
        </w:rPr>
      </w:pPr>
      <w:r>
        <w:rPr>
          <w:color w:val="808080"/>
        </w:rPr>
        <w:t>I de fleste sager er der ikke behov for at nedlægge en subsidiær påstand. I givet fald udelades også overskriften ”Principalt”.</w:t>
      </w:r>
    </w:p>
    <w:p w14:paraId="156C8D0C" w14:textId="77777777" w:rsidR="00B91F8E" w:rsidRDefault="00B91F8E" w:rsidP="00B91F8E">
      <w:pPr>
        <w:rPr>
          <w:color w:val="808080"/>
        </w:rPr>
      </w:pPr>
    </w:p>
    <w:p w14:paraId="156C8D0D" w14:textId="77777777" w:rsidR="00B91F8E" w:rsidRDefault="00B91F8E" w:rsidP="00B91F8E">
      <w:pPr>
        <w:rPr>
          <w:color w:val="808080"/>
        </w:rPr>
      </w:pPr>
    </w:p>
    <w:p w14:paraId="156C8D0E" w14:textId="77777777" w:rsidR="00B91F8E" w:rsidRDefault="00B91F8E" w:rsidP="00B91F8E">
      <w:pPr>
        <w:rPr>
          <w:color w:val="808080"/>
        </w:rPr>
      </w:pPr>
    </w:p>
    <w:p w14:paraId="156C8D0F" w14:textId="77777777" w:rsidR="00B91F8E" w:rsidRPr="00A03B19" w:rsidRDefault="00B91F8E" w:rsidP="00B91F8E">
      <w:pPr>
        <w:rPr>
          <w:color w:val="808080"/>
        </w:rPr>
      </w:pPr>
    </w:p>
    <w:p w14:paraId="156C8D10" w14:textId="77777777" w:rsidR="00B91F8E" w:rsidRDefault="00B91F8E" w:rsidP="00B91F8E">
      <w:pPr>
        <w:jc w:val="both"/>
        <w:rPr>
          <w:szCs w:val="24"/>
        </w:rPr>
      </w:pPr>
    </w:p>
    <w:p w14:paraId="156C8D11" w14:textId="77777777" w:rsidR="00B91F8E" w:rsidRPr="007F6D24" w:rsidRDefault="00B91F8E" w:rsidP="00B91F8E">
      <w:pPr>
        <w:rPr>
          <w:szCs w:val="24"/>
        </w:rPr>
      </w:pPr>
    </w:p>
    <w:p w14:paraId="156C8D12" w14:textId="77777777" w:rsidR="00B91F8E" w:rsidRPr="007F6D24" w:rsidRDefault="00B91F8E" w:rsidP="00B91F8E">
      <w:pPr>
        <w:rPr>
          <w:szCs w:val="24"/>
        </w:rPr>
      </w:pPr>
    </w:p>
    <w:p w14:paraId="156C8D13" w14:textId="77777777" w:rsidR="00B91F8E" w:rsidRPr="007F6D24" w:rsidRDefault="00B91F8E" w:rsidP="00B91F8E">
      <w:pPr>
        <w:rPr>
          <w:szCs w:val="24"/>
        </w:rPr>
      </w:pPr>
    </w:p>
    <w:p w14:paraId="156C8D14" w14:textId="77777777" w:rsidR="00B91F8E" w:rsidRDefault="00B91F8E" w:rsidP="00B91F8E">
      <w:pPr>
        <w:pStyle w:val="Overskrift3"/>
        <w:rPr>
          <w:u w:val="single"/>
        </w:rPr>
      </w:pPr>
      <w:r>
        <w:rPr>
          <w:u w:val="single"/>
        </w:rPr>
        <w:lastRenderedPageBreak/>
        <w:t>SAGSFREMSTILLING</w:t>
      </w:r>
    </w:p>
    <w:p w14:paraId="156C8D15" w14:textId="77777777" w:rsidR="00B91F8E" w:rsidRDefault="00B91F8E" w:rsidP="00B91F8E">
      <w:pPr>
        <w:jc w:val="both"/>
      </w:pPr>
    </w:p>
    <w:p w14:paraId="156C8D16" w14:textId="77777777" w:rsidR="00B91F8E" w:rsidRPr="002744D8" w:rsidRDefault="00B91F8E" w:rsidP="00B91F8E">
      <w:pPr>
        <w:numPr>
          <w:ilvl w:val="0"/>
          <w:numId w:val="2"/>
        </w:numPr>
        <w:tabs>
          <w:tab w:val="clear" w:pos="360"/>
          <w:tab w:val="num" w:pos="786"/>
        </w:tabs>
        <w:ind w:left="786"/>
        <w:jc w:val="both"/>
      </w:pPr>
      <w:r w:rsidRPr="00EF435B">
        <w:rPr>
          <w:color w:val="808080"/>
        </w:rPr>
        <w:t>S</w:t>
      </w:r>
      <w:r w:rsidRPr="00762D3E">
        <w:rPr>
          <w:color w:val="808080"/>
        </w:rPr>
        <w:t>agsfremstillingen skal være præcis og sætte Konkurrenceank</w:t>
      </w:r>
      <w:r w:rsidRPr="00762D3E">
        <w:rPr>
          <w:color w:val="808080"/>
        </w:rPr>
        <w:t>e</w:t>
      </w:r>
      <w:r w:rsidRPr="00762D3E">
        <w:rPr>
          <w:color w:val="808080"/>
        </w:rPr>
        <w:t>nævnet i stand til at træffe afgørelse uden, at ankenævnet skal l</w:t>
      </w:r>
      <w:r w:rsidRPr="00762D3E">
        <w:rPr>
          <w:color w:val="808080"/>
        </w:rPr>
        <w:t>a</w:t>
      </w:r>
      <w:r w:rsidRPr="00762D3E">
        <w:rPr>
          <w:color w:val="808080"/>
        </w:rPr>
        <w:t xml:space="preserve">ve en supplerende sagsfremstilling. </w:t>
      </w:r>
      <w:r w:rsidRPr="00023A22">
        <w:rPr>
          <w:color w:val="808080"/>
        </w:rPr>
        <w:t>Vinklen i sagsfremstillingen er ”den gode historie” om, hvorfor Konkurrencerådet traf den p</w:t>
      </w:r>
      <w:r w:rsidRPr="00023A22">
        <w:rPr>
          <w:color w:val="808080"/>
        </w:rPr>
        <w:t>å</w:t>
      </w:r>
      <w:r w:rsidRPr="00023A22">
        <w:rPr>
          <w:color w:val="808080"/>
        </w:rPr>
        <w:t>gældende afgørelse, og hvorfor ankenævnet skal stadfæste den</w:t>
      </w:r>
      <w:r>
        <w:rPr>
          <w:color w:val="808080"/>
        </w:rPr>
        <w:t>.</w:t>
      </w:r>
      <w:r w:rsidRPr="00023A22">
        <w:rPr>
          <w:color w:val="808080"/>
        </w:rPr>
        <w:t xml:space="preserve"> </w:t>
      </w:r>
      <w:r w:rsidRPr="00762D3E">
        <w:rPr>
          <w:color w:val="808080"/>
        </w:rPr>
        <w:t>Hvis sagen angår en bestemmelse i en aftale, skal bestemmelsen citeres.</w:t>
      </w:r>
      <w:r w:rsidRPr="00762D3E">
        <w:t xml:space="preserve"> </w:t>
      </w:r>
      <w:r>
        <w:rPr>
          <w:color w:val="808080"/>
        </w:rPr>
        <w:t>Sagsfremstillingen kan fx begynde på følgende måde:</w:t>
      </w:r>
    </w:p>
    <w:p w14:paraId="156C8D17" w14:textId="77777777" w:rsidR="00B91F8E" w:rsidRPr="002744D8" w:rsidRDefault="00B91F8E" w:rsidP="00B91F8E">
      <w:pPr>
        <w:ind w:left="360"/>
        <w:jc w:val="both"/>
      </w:pPr>
    </w:p>
    <w:p w14:paraId="156C8D18" w14:textId="77777777" w:rsidR="00B91F8E" w:rsidRPr="002744D8" w:rsidRDefault="00B91F8E" w:rsidP="00B91F8E">
      <w:pPr>
        <w:ind w:left="360"/>
        <w:jc w:val="both"/>
      </w:pPr>
      <w:r w:rsidRPr="002744D8">
        <w:t>Eksempel</w:t>
      </w:r>
      <w:r>
        <w:t xml:space="preserve"> – indledning sagsfremstilling</w:t>
      </w:r>
    </w:p>
    <w:p w14:paraId="156C8D19" w14:textId="77777777" w:rsidR="00B91F8E" w:rsidRPr="002744D8" w:rsidRDefault="00B91F8E" w:rsidP="00B91F8E">
      <w:pPr>
        <w:numPr>
          <w:ilvl w:val="0"/>
          <w:numId w:val="2"/>
        </w:numPr>
        <w:pBdr>
          <w:top w:val="single" w:sz="4" w:space="1" w:color="auto"/>
          <w:left w:val="single" w:sz="4" w:space="4" w:color="auto"/>
          <w:bottom w:val="single" w:sz="4" w:space="1" w:color="auto"/>
          <w:right w:val="single" w:sz="4" w:space="4" w:color="auto"/>
        </w:pBdr>
        <w:tabs>
          <w:tab w:val="clear" w:pos="360"/>
          <w:tab w:val="num" w:pos="786"/>
        </w:tabs>
        <w:ind w:left="786"/>
        <w:jc w:val="both"/>
        <w:rPr>
          <w:i/>
        </w:rPr>
      </w:pPr>
      <w:r w:rsidRPr="002744D8">
        <w:rPr>
          <w:i/>
        </w:rPr>
        <w:t>”Denne sag drejer sig om, hvorvidt Konkurrencerådet med afg</w:t>
      </w:r>
      <w:r w:rsidRPr="002744D8">
        <w:rPr>
          <w:i/>
        </w:rPr>
        <w:t>ø</w:t>
      </w:r>
      <w:r w:rsidRPr="002744D8">
        <w:rPr>
          <w:i/>
        </w:rPr>
        <w:t xml:space="preserve">relse af 23. juni 2010, </w:t>
      </w:r>
      <w:r w:rsidRPr="002744D8">
        <w:rPr>
          <w:i/>
          <w:u w:val="single"/>
        </w:rPr>
        <w:t>bilag A</w:t>
      </w:r>
      <w:r w:rsidRPr="002744D8">
        <w:rPr>
          <w:i/>
        </w:rPr>
        <w:t xml:space="preserve"> (den påklagede afgørelse), havde hjemmel til i medfør af konkurrencelovens § 12 e, stk. 3, at påb</w:t>
      </w:r>
      <w:r w:rsidRPr="002744D8">
        <w:rPr>
          <w:i/>
        </w:rPr>
        <w:t>y</w:t>
      </w:r>
      <w:r w:rsidRPr="002744D8">
        <w:rPr>
          <w:i/>
        </w:rPr>
        <w:t>de Nykredit Realkredit A/S (herefter Nykredit) ikke at forhøje b</w:t>
      </w:r>
      <w:r w:rsidRPr="002744D8">
        <w:rPr>
          <w:i/>
        </w:rPr>
        <w:t>i</w:t>
      </w:r>
      <w:r w:rsidRPr="002744D8">
        <w:rPr>
          <w:i/>
        </w:rPr>
        <w:t>dragssatsen for realkreditlån til private. Det var Konkurrencer</w:t>
      </w:r>
      <w:r w:rsidRPr="002744D8">
        <w:rPr>
          <w:i/>
        </w:rPr>
        <w:t>å</w:t>
      </w:r>
      <w:r w:rsidRPr="002744D8">
        <w:rPr>
          <w:i/>
        </w:rPr>
        <w:t>dets vurdering, at forhøjelsen udgjorde en overtrædelse af et vi</w:t>
      </w:r>
      <w:r w:rsidRPr="002744D8">
        <w:rPr>
          <w:i/>
        </w:rPr>
        <w:t>l</w:t>
      </w:r>
      <w:r w:rsidRPr="002744D8">
        <w:rPr>
          <w:i/>
        </w:rPr>
        <w:t>kår om nedsættelse af bidragssatsen, som indgik i rådets godke</w:t>
      </w:r>
      <w:r w:rsidRPr="002744D8">
        <w:rPr>
          <w:i/>
        </w:rPr>
        <w:t>n</w:t>
      </w:r>
      <w:r w:rsidRPr="002744D8">
        <w:rPr>
          <w:i/>
        </w:rPr>
        <w:t>delse i 2003 af fusionen mellem Nykredit og Totalkredit A/S (he</w:t>
      </w:r>
      <w:r w:rsidRPr="002744D8">
        <w:rPr>
          <w:i/>
        </w:rPr>
        <w:t>r</w:t>
      </w:r>
      <w:r w:rsidRPr="002744D8">
        <w:rPr>
          <w:i/>
        </w:rPr>
        <w:t>efter Totalkredit).”</w:t>
      </w:r>
    </w:p>
    <w:p w14:paraId="156C8D1A" w14:textId="77777777" w:rsidR="00B91F8E" w:rsidRDefault="00B91F8E" w:rsidP="00B91F8E">
      <w:pPr>
        <w:jc w:val="both"/>
      </w:pPr>
    </w:p>
    <w:p w14:paraId="156C8D1B" w14:textId="77777777" w:rsidR="00B91F8E" w:rsidRPr="00972DCC" w:rsidRDefault="00B91F8E" w:rsidP="00B91F8E">
      <w:pPr>
        <w:numPr>
          <w:ilvl w:val="0"/>
          <w:numId w:val="2"/>
        </w:numPr>
        <w:tabs>
          <w:tab w:val="clear" w:pos="360"/>
          <w:tab w:val="num" w:pos="786"/>
        </w:tabs>
        <w:ind w:left="786"/>
        <w:jc w:val="both"/>
        <w:rPr>
          <w:color w:val="808080"/>
        </w:rPr>
      </w:pPr>
      <w:r>
        <w:rPr>
          <w:color w:val="808080"/>
        </w:rPr>
        <w:t xml:space="preserve">Ved at starte på denne måde får man </w:t>
      </w:r>
      <w:r w:rsidRPr="00972DCC">
        <w:rPr>
          <w:color w:val="808080"/>
        </w:rPr>
        <w:t>med det samme fremlagt rådsafgørelsen og som første bilag – medmindre klageren aller</w:t>
      </w:r>
      <w:r w:rsidRPr="00972DCC">
        <w:rPr>
          <w:color w:val="808080"/>
        </w:rPr>
        <w:t>e</w:t>
      </w:r>
      <w:r w:rsidRPr="00972DCC">
        <w:rPr>
          <w:color w:val="808080"/>
        </w:rPr>
        <w:t>de har fremlagt den.</w:t>
      </w:r>
    </w:p>
    <w:p w14:paraId="156C8D1C" w14:textId="77777777" w:rsidR="00B91F8E" w:rsidRPr="00762D3E" w:rsidRDefault="00B91F8E" w:rsidP="00B91F8E">
      <w:pPr>
        <w:jc w:val="both"/>
      </w:pPr>
    </w:p>
    <w:p w14:paraId="156C8D1D" w14:textId="77777777" w:rsidR="00B91F8E" w:rsidRPr="00972DCC" w:rsidRDefault="00B91F8E" w:rsidP="00B91F8E">
      <w:pPr>
        <w:numPr>
          <w:ilvl w:val="0"/>
          <w:numId w:val="2"/>
        </w:numPr>
        <w:tabs>
          <w:tab w:val="clear" w:pos="360"/>
          <w:tab w:val="num" w:pos="786"/>
        </w:tabs>
        <w:ind w:left="786"/>
        <w:jc w:val="both"/>
        <w:rPr>
          <w:color w:val="808080"/>
        </w:rPr>
      </w:pPr>
      <w:r w:rsidRPr="00972DCC">
        <w:rPr>
          <w:color w:val="808080"/>
        </w:rPr>
        <w:t>Rådsafgørelsen får bilagsnummer A. De bilag, der var vedlagt rådsafgørelsen, får bilagsnummer A1, A2, A3 osv.</w:t>
      </w:r>
    </w:p>
    <w:p w14:paraId="156C8D1E" w14:textId="77777777" w:rsidR="00B91F8E" w:rsidRPr="00762D3E" w:rsidRDefault="00B91F8E" w:rsidP="00B91F8E">
      <w:pPr>
        <w:jc w:val="both"/>
      </w:pPr>
    </w:p>
    <w:p w14:paraId="156C8D1F" w14:textId="77777777" w:rsidR="00B91F8E" w:rsidRDefault="00B91F8E" w:rsidP="00B91F8E">
      <w:pPr>
        <w:numPr>
          <w:ilvl w:val="0"/>
          <w:numId w:val="2"/>
        </w:numPr>
        <w:tabs>
          <w:tab w:val="clear" w:pos="360"/>
          <w:tab w:val="num" w:pos="786"/>
        </w:tabs>
        <w:ind w:left="786"/>
        <w:jc w:val="both"/>
        <w:rPr>
          <w:color w:val="808080"/>
        </w:rPr>
      </w:pPr>
      <w:r w:rsidRPr="00972DCC">
        <w:rPr>
          <w:color w:val="808080"/>
        </w:rPr>
        <w:t>Fremlægger Konkurrencerådet nye bilag under ankesagen, får de bilagsnummer B, C, D osv. Det skal dog understreges, at Ko</w:t>
      </w:r>
      <w:r w:rsidRPr="00972DCC">
        <w:rPr>
          <w:color w:val="808080"/>
        </w:rPr>
        <w:t>n</w:t>
      </w:r>
      <w:r w:rsidRPr="00972DCC">
        <w:rPr>
          <w:color w:val="808080"/>
        </w:rPr>
        <w:t>kurrencerådet ikke kan komme med helt nye faktiske oplysni</w:t>
      </w:r>
      <w:r w:rsidRPr="00972DCC">
        <w:rPr>
          <w:color w:val="808080"/>
        </w:rPr>
        <w:t>n</w:t>
      </w:r>
      <w:r w:rsidRPr="00972DCC">
        <w:rPr>
          <w:color w:val="808080"/>
        </w:rPr>
        <w:t>ger, som fuldstændig ændrer grundlaget for rådets afgørelse. Hvis der vitterlig er behov for nye faktiske oplysninger, må en påstand om hjemvisning seriøst overvejes!</w:t>
      </w:r>
      <w:r>
        <w:rPr>
          <w:color w:val="808080"/>
        </w:rPr>
        <w:t>]</w:t>
      </w:r>
    </w:p>
    <w:p w14:paraId="156C8D20" w14:textId="77777777" w:rsidR="00B91F8E" w:rsidRDefault="00B91F8E" w:rsidP="00B91F8E">
      <w:pPr>
        <w:jc w:val="both"/>
        <w:rPr>
          <w:color w:val="808080"/>
        </w:rPr>
      </w:pPr>
    </w:p>
    <w:p w14:paraId="156C8D21" w14:textId="77777777" w:rsidR="00B91F8E" w:rsidRPr="00076B75" w:rsidRDefault="00B91F8E" w:rsidP="00B91F8E">
      <w:pPr>
        <w:numPr>
          <w:ilvl w:val="0"/>
          <w:numId w:val="2"/>
        </w:numPr>
        <w:tabs>
          <w:tab w:val="clear" w:pos="360"/>
          <w:tab w:val="num" w:pos="786"/>
        </w:tabs>
        <w:ind w:left="786"/>
        <w:jc w:val="both"/>
      </w:pPr>
      <w:r>
        <w:rPr>
          <w:color w:val="808080"/>
        </w:rPr>
        <w:t>Man bør sobert og nøgternt forholde sig til den sagsfremstilling, som klageren har anført i klageskriftet (se følgende eksempel):</w:t>
      </w:r>
    </w:p>
    <w:p w14:paraId="156C8D22" w14:textId="77777777" w:rsidR="00B91F8E" w:rsidRDefault="00B91F8E" w:rsidP="00B91F8E">
      <w:pPr>
        <w:ind w:left="284"/>
        <w:jc w:val="both"/>
      </w:pPr>
    </w:p>
    <w:p w14:paraId="156C8D23" w14:textId="77777777" w:rsidR="00B91F8E" w:rsidRDefault="00B91F8E" w:rsidP="00B91F8E">
      <w:pPr>
        <w:ind w:left="284"/>
        <w:jc w:val="both"/>
      </w:pPr>
      <w:r w:rsidRPr="002744D8">
        <w:t>Eksempl</w:t>
      </w:r>
      <w:r>
        <w:t>er – kommentarer til klagers sagsfremstilling</w:t>
      </w:r>
    </w:p>
    <w:p w14:paraId="156C8D24" w14:textId="77777777" w:rsidR="00B91F8E" w:rsidRPr="00945F6F" w:rsidRDefault="00B91F8E" w:rsidP="00B91F8E">
      <w:pPr>
        <w:numPr>
          <w:ilvl w:val="0"/>
          <w:numId w:val="2"/>
        </w:numPr>
        <w:pBdr>
          <w:top w:val="single" w:sz="4" w:space="1" w:color="auto"/>
          <w:left w:val="single" w:sz="4" w:space="4" w:color="auto"/>
          <w:bottom w:val="single" w:sz="4" w:space="1" w:color="auto"/>
          <w:right w:val="single" w:sz="4" w:space="4" w:color="auto"/>
        </w:pBdr>
        <w:tabs>
          <w:tab w:val="clear" w:pos="360"/>
          <w:tab w:val="num" w:pos="786"/>
        </w:tabs>
        <w:ind w:left="786"/>
        <w:jc w:val="both"/>
        <w:rPr>
          <w:i/>
        </w:rPr>
      </w:pPr>
      <w:r w:rsidRPr="00D85385">
        <w:t>”</w:t>
      </w:r>
      <w:r w:rsidRPr="00945F6F">
        <w:rPr>
          <w:i/>
        </w:rPr>
        <w:t>Hvad angår den sagsfremstilling, som er indeholdt i klageskri</w:t>
      </w:r>
      <w:r w:rsidRPr="00945F6F">
        <w:rPr>
          <w:i/>
        </w:rPr>
        <w:t>f</w:t>
      </w:r>
      <w:r w:rsidRPr="00945F6F">
        <w:rPr>
          <w:i/>
        </w:rPr>
        <w:t>tet</w:t>
      </w:r>
      <w:r w:rsidRPr="00945F6F">
        <w:rPr>
          <w:i/>
          <w:color w:val="808080"/>
        </w:rPr>
        <w:t xml:space="preserve"> </w:t>
      </w:r>
      <w:r w:rsidRPr="00945F6F">
        <w:rPr>
          <w:i/>
        </w:rPr>
        <w:t>af</w:t>
      </w:r>
      <w:r w:rsidRPr="00945F6F">
        <w:rPr>
          <w:i/>
          <w:color w:val="808080"/>
        </w:rPr>
        <w:t xml:space="preserve"> </w:t>
      </w:r>
      <w:r w:rsidRPr="00945F6F">
        <w:rPr>
          <w:i/>
        </w:rPr>
        <w:t xml:space="preserve">…, forekommer den på en række punkter at indeholde mere, end der er faktuelt belæg for i de dokumenter, som der henvises til. Klageren anfører fx </w:t>
      </w:r>
      <w:proofErr w:type="gramStart"/>
      <w:r w:rsidRPr="00945F6F">
        <w:rPr>
          <w:i/>
        </w:rPr>
        <w:t>s. .</w:t>
      </w:r>
      <w:proofErr w:type="gramEnd"/>
      <w:r w:rsidRPr="00945F6F">
        <w:rPr>
          <w:i/>
        </w:rPr>
        <w:t>. i klageskriftet i relation til mødet den … .”</w:t>
      </w:r>
    </w:p>
    <w:p w14:paraId="156C8D25" w14:textId="77777777" w:rsidR="00B91F8E" w:rsidRDefault="00B91F8E" w:rsidP="00B91F8E">
      <w:pPr>
        <w:numPr>
          <w:ilvl w:val="0"/>
          <w:numId w:val="2"/>
        </w:numPr>
        <w:pBdr>
          <w:top w:val="single" w:sz="4" w:space="1" w:color="auto"/>
          <w:left w:val="single" w:sz="4" w:space="4" w:color="auto"/>
          <w:bottom w:val="single" w:sz="4" w:space="1" w:color="auto"/>
          <w:right w:val="single" w:sz="4" w:space="4" w:color="auto"/>
        </w:pBdr>
        <w:tabs>
          <w:tab w:val="clear" w:pos="360"/>
          <w:tab w:val="num" w:pos="786"/>
        </w:tabs>
        <w:ind w:left="786"/>
        <w:jc w:val="both"/>
        <w:rPr>
          <w:i/>
        </w:rPr>
      </w:pPr>
      <w:r w:rsidRPr="00945F6F">
        <w:rPr>
          <w:i/>
        </w:rPr>
        <w:lastRenderedPageBreak/>
        <w:t>”De ovenfor kursiverede tekstafsnit fremgår ikke af de underli</w:t>
      </w:r>
      <w:r w:rsidRPr="00945F6F">
        <w:rPr>
          <w:i/>
        </w:rPr>
        <w:t>g</w:t>
      </w:r>
      <w:r w:rsidRPr="00945F6F">
        <w:rPr>
          <w:i/>
        </w:rPr>
        <w:t>gende dokumenter. … ”</w:t>
      </w:r>
    </w:p>
    <w:p w14:paraId="156C8D26" w14:textId="77777777" w:rsidR="00B91F8E" w:rsidRPr="00945F6F" w:rsidRDefault="00B91F8E" w:rsidP="00B91F8E">
      <w:pPr>
        <w:numPr>
          <w:ilvl w:val="0"/>
          <w:numId w:val="2"/>
        </w:numPr>
        <w:pBdr>
          <w:top w:val="single" w:sz="4" w:space="1" w:color="auto"/>
          <w:left w:val="single" w:sz="4" w:space="4" w:color="auto"/>
          <w:bottom w:val="single" w:sz="4" w:space="1" w:color="auto"/>
          <w:right w:val="single" w:sz="4" w:space="4" w:color="auto"/>
        </w:pBdr>
        <w:tabs>
          <w:tab w:val="clear" w:pos="360"/>
          <w:tab w:val="num" w:pos="786"/>
        </w:tabs>
        <w:ind w:left="786"/>
        <w:jc w:val="both"/>
        <w:rPr>
          <w:i/>
        </w:rPr>
      </w:pPr>
      <w:r>
        <w:rPr>
          <w:i/>
        </w:rPr>
        <w:t>”Klager undlader at henvise til…”</w:t>
      </w:r>
    </w:p>
    <w:p w14:paraId="156C8D27" w14:textId="77777777" w:rsidR="00B91F8E" w:rsidRPr="00945F6F" w:rsidRDefault="00B91F8E" w:rsidP="00B91F8E">
      <w:pPr>
        <w:numPr>
          <w:ilvl w:val="0"/>
          <w:numId w:val="2"/>
        </w:numPr>
        <w:pBdr>
          <w:top w:val="single" w:sz="4" w:space="1" w:color="auto"/>
          <w:left w:val="single" w:sz="4" w:space="4" w:color="auto"/>
          <w:bottom w:val="single" w:sz="4" w:space="1" w:color="auto"/>
          <w:right w:val="single" w:sz="4" w:space="4" w:color="auto"/>
        </w:pBdr>
        <w:tabs>
          <w:tab w:val="clear" w:pos="360"/>
          <w:tab w:val="num" w:pos="786"/>
        </w:tabs>
        <w:ind w:left="786"/>
        <w:jc w:val="both"/>
        <w:rPr>
          <w:i/>
        </w:rPr>
      </w:pPr>
      <w:r w:rsidRPr="00945F6F">
        <w:rPr>
          <w:i/>
        </w:rPr>
        <w:t>”Det er en ny oplysning, at … Dette forhold har klageren ikke tidligere oplyst, hverken i forbindelse med den skriftlige høring, som blev foretaget af klageren den… eller i forbindelse med det mundtlige indlæg for Konkurrencerådet den … og indgik derfor ikke i Konkurrencerådets afgørelse af… ”</w:t>
      </w:r>
    </w:p>
    <w:p w14:paraId="156C8D28" w14:textId="77777777" w:rsidR="00B91F8E" w:rsidRDefault="00B91F8E" w:rsidP="00B91F8E">
      <w:pPr>
        <w:ind w:left="360"/>
        <w:jc w:val="both"/>
      </w:pPr>
    </w:p>
    <w:p w14:paraId="156C8D29" w14:textId="77777777" w:rsidR="00B91F8E" w:rsidRPr="00EC1277" w:rsidRDefault="00B91F8E" w:rsidP="00B91F8E">
      <w:pPr>
        <w:numPr>
          <w:ilvl w:val="0"/>
          <w:numId w:val="2"/>
        </w:numPr>
        <w:tabs>
          <w:tab w:val="clear" w:pos="360"/>
          <w:tab w:val="num" w:pos="786"/>
        </w:tabs>
        <w:ind w:left="786"/>
        <w:jc w:val="both"/>
        <w:rPr>
          <w:color w:val="808080"/>
        </w:rPr>
      </w:pPr>
      <w:r w:rsidRPr="00EC1277">
        <w:rPr>
          <w:color w:val="808080"/>
        </w:rPr>
        <w:t>Afslut sagsfremstillingen med følgende afsnit:</w:t>
      </w:r>
    </w:p>
    <w:p w14:paraId="156C8D2A" w14:textId="77777777" w:rsidR="00B91F8E" w:rsidRDefault="00B91F8E" w:rsidP="00B91F8E">
      <w:pPr>
        <w:ind w:left="360"/>
        <w:jc w:val="both"/>
      </w:pPr>
    </w:p>
    <w:p w14:paraId="156C8D2B" w14:textId="77777777" w:rsidR="00B91F8E" w:rsidRPr="00945F6F" w:rsidRDefault="00B91F8E" w:rsidP="00B91F8E">
      <w:pPr>
        <w:numPr>
          <w:ilvl w:val="0"/>
          <w:numId w:val="2"/>
        </w:numPr>
        <w:tabs>
          <w:tab w:val="clear" w:pos="360"/>
          <w:tab w:val="num" w:pos="786"/>
        </w:tabs>
        <w:ind w:left="786"/>
        <w:jc w:val="both"/>
      </w:pPr>
      <w:r w:rsidRPr="00945F6F">
        <w:t>For så vidt angår sagens øvrige faktiske omstændigheder, henv</w:t>
      </w:r>
      <w:r w:rsidRPr="00945F6F">
        <w:t>i</w:t>
      </w:r>
      <w:r w:rsidRPr="00945F6F">
        <w:t>ses til den sagsfremstilling, der dannede grundlag for Konkurre</w:t>
      </w:r>
      <w:r w:rsidRPr="00945F6F">
        <w:t>n</w:t>
      </w:r>
      <w:r w:rsidRPr="00945F6F">
        <w:t>cerådets behandling af sagen på mødet den […], og som ind</w:t>
      </w:r>
      <w:r w:rsidRPr="00945F6F">
        <w:t>e</w:t>
      </w:r>
      <w:r w:rsidRPr="00945F6F">
        <w:t>holdt i rådets afgørelse af samme dato til klageren, jf. bilag A</w:t>
      </w:r>
      <w:r w:rsidRPr="00945F6F">
        <w:rPr>
          <w:color w:val="808080"/>
        </w:rPr>
        <w:t>.</w:t>
      </w:r>
      <w:r w:rsidRPr="00945F6F">
        <w:t xml:space="preserve"> </w:t>
      </w:r>
    </w:p>
    <w:p w14:paraId="156C8D2C" w14:textId="77777777" w:rsidR="00B91F8E" w:rsidRPr="000F4CF0" w:rsidRDefault="00B91F8E" w:rsidP="00B91F8E">
      <w:pPr>
        <w:jc w:val="both"/>
      </w:pPr>
    </w:p>
    <w:p w14:paraId="156C8D2D" w14:textId="77777777" w:rsidR="00B91F8E" w:rsidRDefault="00B91F8E" w:rsidP="00B91F8E">
      <w:pPr>
        <w:pStyle w:val="Overskrift3"/>
        <w:rPr>
          <w:u w:val="single"/>
        </w:rPr>
      </w:pPr>
      <w:r>
        <w:rPr>
          <w:u w:val="single"/>
        </w:rPr>
        <w:t>ANBRINGENDER</w:t>
      </w:r>
    </w:p>
    <w:p w14:paraId="156C8D2E" w14:textId="77777777" w:rsidR="00B91F8E" w:rsidRDefault="00B91F8E" w:rsidP="00B91F8E">
      <w:pPr>
        <w:ind w:left="360"/>
        <w:jc w:val="both"/>
      </w:pPr>
    </w:p>
    <w:p w14:paraId="156C8D2F" w14:textId="77777777" w:rsidR="00B91F8E" w:rsidRDefault="00B91F8E" w:rsidP="00B91F8E">
      <w:pPr>
        <w:numPr>
          <w:ilvl w:val="0"/>
          <w:numId w:val="2"/>
        </w:numPr>
        <w:tabs>
          <w:tab w:val="clear" w:pos="360"/>
          <w:tab w:val="num" w:pos="786"/>
        </w:tabs>
        <w:ind w:left="786"/>
        <w:jc w:val="both"/>
      </w:pPr>
      <w:r w:rsidRPr="008F6037">
        <w:t xml:space="preserve">Til støtte for </w:t>
      </w:r>
      <w:r>
        <w:rPr>
          <w:color w:val="808080"/>
        </w:rPr>
        <w:t xml:space="preserve">[den principale påstand] </w:t>
      </w:r>
      <w:r w:rsidRPr="008F6037">
        <w:t>påstanden gøres det gæ</w:t>
      </w:r>
      <w:r w:rsidRPr="008F6037">
        <w:t>l</w:t>
      </w:r>
      <w:r w:rsidRPr="008F6037">
        <w:t>dende, at Konkurrencerådet i afgørelse</w:t>
      </w:r>
      <w:r>
        <w:t>n af [dato] med rette har fundet</w:t>
      </w:r>
    </w:p>
    <w:p w14:paraId="156C8D30" w14:textId="77777777" w:rsidR="00B91F8E" w:rsidRDefault="00B91F8E" w:rsidP="00B91F8E">
      <w:pPr>
        <w:ind w:left="284"/>
        <w:jc w:val="both"/>
      </w:pPr>
    </w:p>
    <w:p w14:paraId="156C8D31" w14:textId="77777777" w:rsidR="00B91F8E" w:rsidRDefault="00B91F8E" w:rsidP="00B91F8E">
      <w:pPr>
        <w:ind w:left="284"/>
        <w:jc w:val="both"/>
      </w:pPr>
      <w:r>
        <w:t>Eksempler – formuleringer af anbringender</w:t>
      </w:r>
    </w:p>
    <w:p w14:paraId="156C8D32" w14:textId="77777777" w:rsidR="00B91F8E" w:rsidRDefault="00B91F8E" w:rsidP="00B91F8E">
      <w:pPr>
        <w:pBdr>
          <w:top w:val="single" w:sz="4" w:space="1" w:color="auto"/>
          <w:left w:val="single" w:sz="4" w:space="4" w:color="auto"/>
          <w:bottom w:val="single" w:sz="4" w:space="1" w:color="auto"/>
          <w:right w:val="single" w:sz="4" w:space="4" w:color="auto"/>
        </w:pBdr>
        <w:ind w:left="360"/>
        <w:jc w:val="both"/>
        <w:rPr>
          <w:i/>
        </w:rPr>
      </w:pPr>
      <w:r w:rsidRPr="00945F6F">
        <w:rPr>
          <w:i/>
          <w:u w:val="single"/>
        </w:rPr>
        <w:t>”at</w:t>
      </w:r>
      <w:r w:rsidRPr="00945F6F">
        <w:rPr>
          <w:i/>
        </w:rPr>
        <w:t xml:space="preserve"> Nykredits tilsagn (5) og det tilsvarende vilkår indeholdt i Konku</w:t>
      </w:r>
      <w:r w:rsidRPr="00945F6F">
        <w:rPr>
          <w:i/>
        </w:rPr>
        <w:t>r</w:t>
      </w:r>
      <w:r w:rsidRPr="00945F6F">
        <w:rPr>
          <w:i/>
        </w:rPr>
        <w:t xml:space="preserve">rencerådets afgørelse af 14. oktober 2003 indeholdt en ikke-tidsbegrænset forpligtelse til ikke at forhøje bidragssatsen,  </w:t>
      </w:r>
    </w:p>
    <w:p w14:paraId="156C8D33" w14:textId="77777777" w:rsidR="00B91F8E" w:rsidRDefault="00B91F8E" w:rsidP="00B91F8E">
      <w:pPr>
        <w:pBdr>
          <w:top w:val="single" w:sz="4" w:space="1" w:color="auto"/>
          <w:left w:val="single" w:sz="4" w:space="4" w:color="auto"/>
          <w:bottom w:val="single" w:sz="4" w:space="1" w:color="auto"/>
          <w:right w:val="single" w:sz="4" w:space="4" w:color="auto"/>
        </w:pBdr>
        <w:ind w:left="360"/>
        <w:jc w:val="both"/>
        <w:rPr>
          <w:i/>
        </w:rPr>
      </w:pPr>
    </w:p>
    <w:p w14:paraId="156C8D34" w14:textId="77777777" w:rsidR="00B91F8E" w:rsidRDefault="00B91F8E" w:rsidP="00B91F8E">
      <w:pPr>
        <w:pBdr>
          <w:top w:val="single" w:sz="4" w:space="1" w:color="auto"/>
          <w:left w:val="single" w:sz="4" w:space="4" w:color="auto"/>
          <w:bottom w:val="single" w:sz="4" w:space="1" w:color="auto"/>
          <w:right w:val="single" w:sz="4" w:space="4" w:color="auto"/>
        </w:pBdr>
        <w:ind w:left="360"/>
        <w:jc w:val="both"/>
        <w:rPr>
          <w:i/>
        </w:rPr>
      </w:pPr>
      <w:r w:rsidRPr="00945F6F">
        <w:rPr>
          <w:i/>
          <w:u w:val="single"/>
        </w:rPr>
        <w:t>at</w:t>
      </w:r>
      <w:r w:rsidRPr="00945F6F">
        <w:rPr>
          <w:i/>
        </w:rPr>
        <w:t xml:space="preserve"> Nykredits annoncerede forhøjelse pr. 1. juli 2010 af bidragssatse</w:t>
      </w:r>
      <w:r w:rsidRPr="00945F6F">
        <w:rPr>
          <w:i/>
        </w:rPr>
        <w:t>r</w:t>
      </w:r>
      <w:r w:rsidRPr="00945F6F">
        <w:rPr>
          <w:i/>
        </w:rPr>
        <w:t>ne for nye realkreditlån til private og for eksisterende lån til private, som er optaget efter den 14. oktober 2003, udgjorde en overtrædelse af vilkåret for Konkurrencerådets godkendelse 14. oktober 2003 af fusionen mellem Nykredit Realkredit A/S og Totalkredit A/S, og</w:t>
      </w:r>
    </w:p>
    <w:p w14:paraId="156C8D35" w14:textId="77777777" w:rsidR="00B91F8E" w:rsidRDefault="00B91F8E" w:rsidP="00B91F8E">
      <w:pPr>
        <w:pBdr>
          <w:top w:val="single" w:sz="4" w:space="1" w:color="auto"/>
          <w:left w:val="single" w:sz="4" w:space="4" w:color="auto"/>
          <w:bottom w:val="single" w:sz="4" w:space="1" w:color="auto"/>
          <w:right w:val="single" w:sz="4" w:space="4" w:color="auto"/>
        </w:pBdr>
        <w:ind w:left="360"/>
        <w:jc w:val="both"/>
        <w:rPr>
          <w:i/>
        </w:rPr>
      </w:pPr>
    </w:p>
    <w:p w14:paraId="156C8D36" w14:textId="77777777" w:rsidR="00B91F8E" w:rsidRPr="001D71C4" w:rsidRDefault="00B91F8E" w:rsidP="00B91F8E">
      <w:pPr>
        <w:pBdr>
          <w:top w:val="single" w:sz="4" w:space="1" w:color="auto"/>
          <w:left w:val="single" w:sz="4" w:space="4" w:color="auto"/>
          <w:bottom w:val="single" w:sz="4" w:space="1" w:color="auto"/>
          <w:right w:val="single" w:sz="4" w:space="4" w:color="auto"/>
        </w:pBdr>
        <w:ind w:left="360"/>
        <w:jc w:val="both"/>
        <w:rPr>
          <w:i/>
        </w:rPr>
      </w:pPr>
      <w:r w:rsidRPr="001D71C4">
        <w:rPr>
          <w:i/>
        </w:rPr>
        <w:t>i konsekvens heraf</w:t>
      </w:r>
    </w:p>
    <w:p w14:paraId="156C8D37" w14:textId="77777777" w:rsidR="00B91F8E" w:rsidRDefault="00B91F8E" w:rsidP="00B91F8E">
      <w:pPr>
        <w:pBdr>
          <w:top w:val="single" w:sz="4" w:space="1" w:color="auto"/>
          <w:left w:val="single" w:sz="4" w:space="4" w:color="auto"/>
          <w:bottom w:val="single" w:sz="4" w:space="1" w:color="auto"/>
          <w:right w:val="single" w:sz="4" w:space="4" w:color="auto"/>
        </w:pBdr>
        <w:ind w:left="360"/>
        <w:jc w:val="both"/>
        <w:rPr>
          <w:i/>
        </w:rPr>
      </w:pPr>
    </w:p>
    <w:p w14:paraId="156C8D38" w14:textId="77777777" w:rsidR="00B91F8E" w:rsidRPr="00945F6F" w:rsidRDefault="00B91F8E" w:rsidP="00B91F8E">
      <w:pPr>
        <w:pBdr>
          <w:top w:val="single" w:sz="4" w:space="1" w:color="auto"/>
          <w:left w:val="single" w:sz="4" w:space="4" w:color="auto"/>
          <w:bottom w:val="single" w:sz="4" w:space="1" w:color="auto"/>
          <w:right w:val="single" w:sz="4" w:space="4" w:color="auto"/>
        </w:pBdr>
        <w:ind w:left="360"/>
        <w:jc w:val="both"/>
        <w:rPr>
          <w:i/>
        </w:rPr>
      </w:pPr>
      <w:r w:rsidRPr="00945F6F">
        <w:rPr>
          <w:i/>
          <w:u w:val="single"/>
        </w:rPr>
        <w:t>at</w:t>
      </w:r>
      <w:r w:rsidRPr="00945F6F">
        <w:rPr>
          <w:i/>
        </w:rPr>
        <w:t xml:space="preserve"> Konkurrencerådet med rette i medfør af konkurrencelovens § 12 e, stk. 3, påbød Nykredit Realkredit A/S ikke at forhøje bidragssatsen på 0,50 pct. for realkreditlån til private, der fra den 14. oktober 2003 at regne er eller vil blive optaget. </w:t>
      </w:r>
    </w:p>
    <w:p w14:paraId="156C8D39" w14:textId="77777777" w:rsidR="00B91F8E" w:rsidRDefault="00B91F8E" w:rsidP="00B91F8E">
      <w:pPr>
        <w:pBdr>
          <w:top w:val="single" w:sz="4" w:space="1" w:color="auto"/>
          <w:left w:val="single" w:sz="4" w:space="4" w:color="auto"/>
          <w:bottom w:val="single" w:sz="4" w:space="1" w:color="auto"/>
          <w:right w:val="single" w:sz="4" w:space="4" w:color="auto"/>
        </w:pBdr>
        <w:ind w:left="360"/>
        <w:jc w:val="both"/>
        <w:rPr>
          <w:i/>
        </w:rPr>
      </w:pPr>
    </w:p>
    <w:p w14:paraId="156C8D3A" w14:textId="77777777" w:rsidR="00B91F8E" w:rsidRDefault="00B91F8E" w:rsidP="00B91F8E">
      <w:pPr>
        <w:pBdr>
          <w:top w:val="single" w:sz="4" w:space="1" w:color="auto"/>
          <w:left w:val="single" w:sz="4" w:space="4" w:color="auto"/>
          <w:bottom w:val="single" w:sz="4" w:space="1" w:color="auto"/>
          <w:right w:val="single" w:sz="4" w:space="4" w:color="auto"/>
        </w:pBdr>
        <w:ind w:left="360"/>
        <w:jc w:val="both"/>
        <w:rPr>
          <w:i/>
        </w:rPr>
      </w:pPr>
      <w:r w:rsidRPr="00945F6F">
        <w:rPr>
          <w:i/>
        </w:rPr>
        <w:t>Til støtte for den subsidiære påstand gøres det gældende, at de fakt</w:t>
      </w:r>
      <w:r w:rsidRPr="00945F6F">
        <w:rPr>
          <w:i/>
        </w:rPr>
        <w:t>i</w:t>
      </w:r>
      <w:r w:rsidRPr="00945F6F">
        <w:rPr>
          <w:i/>
        </w:rPr>
        <w:t xml:space="preserve">ske forhold, som er anført i klageskriftet af </w:t>
      </w:r>
      <w:r>
        <w:rPr>
          <w:i/>
        </w:rPr>
        <w:t>[dato]</w:t>
      </w:r>
      <w:r w:rsidRPr="00945F6F">
        <w:rPr>
          <w:i/>
        </w:rPr>
        <w:t xml:space="preserve"> vedrørende </w:t>
      </w:r>
      <w:r>
        <w:rPr>
          <w:i/>
        </w:rPr>
        <w:t>[</w:t>
      </w:r>
      <w:r w:rsidRPr="00945F6F">
        <w:rPr>
          <w:i/>
        </w:rPr>
        <w:t>…</w:t>
      </w:r>
      <w:r>
        <w:rPr>
          <w:i/>
        </w:rPr>
        <w:t>]</w:t>
      </w:r>
      <w:r w:rsidRPr="00945F6F">
        <w:rPr>
          <w:i/>
        </w:rPr>
        <w:t xml:space="preserve">, er af så væsentlig anden karakter end de, som Konkurrencerådet lagde </w:t>
      </w:r>
      <w:r w:rsidRPr="00945F6F">
        <w:rPr>
          <w:i/>
        </w:rPr>
        <w:lastRenderedPageBreak/>
        <w:t xml:space="preserve">til grund for dets afgørelse af </w:t>
      </w:r>
      <w:r>
        <w:rPr>
          <w:i/>
        </w:rPr>
        <w:t>[dato]</w:t>
      </w:r>
      <w:r w:rsidRPr="00945F6F">
        <w:rPr>
          <w:i/>
        </w:rPr>
        <w:t>, at sagen rettelig bør undergå en fornyet behandling af Konkurrencerådet.”</w:t>
      </w:r>
    </w:p>
    <w:p w14:paraId="156C8D3B" w14:textId="77777777" w:rsidR="00B91F8E" w:rsidRDefault="00B91F8E" w:rsidP="00B91F8E">
      <w:pPr>
        <w:ind w:left="786"/>
        <w:jc w:val="both"/>
      </w:pPr>
    </w:p>
    <w:p w14:paraId="156C8D3C" w14:textId="77777777" w:rsidR="00B91F8E" w:rsidRPr="00945F6F" w:rsidRDefault="00B91F8E" w:rsidP="00B91F8E">
      <w:pPr>
        <w:numPr>
          <w:ilvl w:val="0"/>
          <w:numId w:val="2"/>
        </w:numPr>
        <w:tabs>
          <w:tab w:val="clear" w:pos="360"/>
          <w:tab w:val="num" w:pos="786"/>
        </w:tabs>
        <w:ind w:left="786"/>
        <w:jc w:val="both"/>
      </w:pPr>
      <w:r w:rsidRPr="00945F6F">
        <w:t>I det følgende vil der først blive redegjort for det juridiske grun</w:t>
      </w:r>
      <w:r w:rsidRPr="00945F6F">
        <w:t>d</w:t>
      </w:r>
      <w:r w:rsidRPr="00945F6F">
        <w:t>lag for den påklagede afgørelse. Herefter kommenteres klagerens specifikke indsigelser mod afgørelsen, som indeholdt i klag</w:t>
      </w:r>
      <w:r w:rsidRPr="00945F6F">
        <w:t>e</w:t>
      </w:r>
      <w:r w:rsidRPr="00945F6F">
        <w:t xml:space="preserve">skriftet af </w:t>
      </w:r>
      <w:r>
        <w:t>[</w:t>
      </w:r>
      <w:proofErr w:type="spellStart"/>
      <w:r>
        <w:t>x.x</w:t>
      </w:r>
      <w:proofErr w:type="spellEnd"/>
      <w:r>
        <w:t>, 20xx]</w:t>
      </w:r>
      <w:r w:rsidRPr="00945F6F">
        <w:t xml:space="preserve">, og som ikke allerede er blevet imødegået under gennemgangen af det juridiske grundlag for afgørelsen. </w:t>
      </w:r>
    </w:p>
    <w:p w14:paraId="156C8D3D" w14:textId="77777777" w:rsidR="00B91F8E" w:rsidRPr="00945F6F" w:rsidRDefault="00B91F8E" w:rsidP="00B91F8E">
      <w:pPr>
        <w:jc w:val="both"/>
      </w:pPr>
    </w:p>
    <w:p w14:paraId="156C8D3E" w14:textId="77777777" w:rsidR="00B91F8E" w:rsidRPr="00945F6F" w:rsidRDefault="00B91F8E" w:rsidP="00B91F8E">
      <w:pPr>
        <w:pStyle w:val="Overskrift3"/>
        <w:rPr>
          <w:u w:val="single"/>
        </w:rPr>
      </w:pPr>
      <w:r w:rsidRPr="00945F6F">
        <w:rPr>
          <w:u w:val="single"/>
        </w:rPr>
        <w:t>DET JURIDISKE GRUNDLAG FOR KONKURRENCER</w:t>
      </w:r>
      <w:r w:rsidRPr="00945F6F">
        <w:rPr>
          <w:u w:val="single"/>
        </w:rPr>
        <w:t>Å</w:t>
      </w:r>
      <w:r w:rsidRPr="00945F6F">
        <w:rPr>
          <w:u w:val="single"/>
        </w:rPr>
        <w:t>DETS AFGØRELSE</w:t>
      </w:r>
    </w:p>
    <w:p w14:paraId="156C8D3F" w14:textId="77777777" w:rsidR="00B91F8E" w:rsidRPr="00945F6F" w:rsidRDefault="00B91F8E" w:rsidP="00B91F8E">
      <w:pPr>
        <w:jc w:val="both"/>
      </w:pPr>
    </w:p>
    <w:p w14:paraId="156C8D40" w14:textId="77777777" w:rsidR="00B91F8E" w:rsidRPr="00EC1277" w:rsidRDefault="00B91F8E" w:rsidP="00B91F8E">
      <w:pPr>
        <w:numPr>
          <w:ilvl w:val="0"/>
          <w:numId w:val="2"/>
        </w:numPr>
        <w:tabs>
          <w:tab w:val="clear" w:pos="360"/>
          <w:tab w:val="num" w:pos="502"/>
          <w:tab w:val="num" w:pos="786"/>
        </w:tabs>
        <w:ind w:left="502"/>
        <w:jc w:val="both"/>
        <w:rPr>
          <w:color w:val="808080"/>
        </w:rPr>
      </w:pPr>
      <w:r w:rsidRPr="00EC1277">
        <w:rPr>
          <w:color w:val="808080"/>
        </w:rPr>
        <w:t>Svarskriftet må ikke være en automatisk afskrift af den fulde jurid</w:t>
      </w:r>
      <w:r w:rsidRPr="00EC1277">
        <w:rPr>
          <w:color w:val="808080"/>
        </w:rPr>
        <w:t>i</w:t>
      </w:r>
      <w:r w:rsidRPr="00EC1277">
        <w:rPr>
          <w:color w:val="808080"/>
        </w:rPr>
        <w:t xml:space="preserve">ske argumentation i afgørelsen. Det er de vigtigste konklusioner og den væsentligste argumentation herfor, der skal præsenteres for Konkurrenceankenævnet – præcist, koncentreret og velformuleret. </w:t>
      </w:r>
    </w:p>
    <w:p w14:paraId="156C8D41" w14:textId="77777777" w:rsidR="00B91F8E" w:rsidRPr="00EC1277" w:rsidRDefault="00B91F8E" w:rsidP="00B91F8E">
      <w:pPr>
        <w:ind w:left="142"/>
        <w:jc w:val="both"/>
        <w:rPr>
          <w:color w:val="808080"/>
        </w:rPr>
      </w:pPr>
    </w:p>
    <w:p w14:paraId="156C8D42" w14:textId="77777777" w:rsidR="00B91F8E" w:rsidRPr="00211F7F" w:rsidRDefault="00B91F8E" w:rsidP="00B91F8E">
      <w:pPr>
        <w:numPr>
          <w:ilvl w:val="0"/>
          <w:numId w:val="2"/>
        </w:numPr>
        <w:tabs>
          <w:tab w:val="clear" w:pos="360"/>
          <w:tab w:val="num" w:pos="502"/>
          <w:tab w:val="num" w:pos="786"/>
        </w:tabs>
        <w:ind w:left="502"/>
        <w:jc w:val="both"/>
      </w:pPr>
      <w:r w:rsidRPr="00EC1277">
        <w:rPr>
          <w:color w:val="808080"/>
          <w:szCs w:val="24"/>
        </w:rPr>
        <w:t>Der laves passende henvisninger til den påklagede afgørelse.</w:t>
      </w:r>
      <w:r w:rsidRPr="00945F6F">
        <w:rPr>
          <w:szCs w:val="24"/>
        </w:rPr>
        <w:t xml:space="preserve"> </w:t>
      </w:r>
    </w:p>
    <w:p w14:paraId="156C8D43" w14:textId="77777777" w:rsidR="00B91F8E" w:rsidRDefault="00B91F8E" w:rsidP="00B91F8E">
      <w:pPr>
        <w:ind w:left="502"/>
        <w:jc w:val="both"/>
      </w:pPr>
    </w:p>
    <w:p w14:paraId="156C8D44" w14:textId="77777777" w:rsidR="00B91F8E" w:rsidRPr="00211F7F" w:rsidRDefault="00B91F8E" w:rsidP="00B91F8E">
      <w:pPr>
        <w:ind w:left="502"/>
        <w:jc w:val="both"/>
      </w:pPr>
      <w:r>
        <w:t>Eksempel – henvisninger]</w:t>
      </w:r>
    </w:p>
    <w:p w14:paraId="156C8D45" w14:textId="77777777" w:rsidR="00B91F8E" w:rsidRPr="00945F6F" w:rsidRDefault="00B91F8E" w:rsidP="00B91F8E">
      <w:pPr>
        <w:numPr>
          <w:ilvl w:val="0"/>
          <w:numId w:val="2"/>
        </w:numPr>
        <w:pBdr>
          <w:top w:val="single" w:sz="4" w:space="1" w:color="auto"/>
          <w:left w:val="single" w:sz="4" w:space="4" w:color="auto"/>
          <w:bottom w:val="single" w:sz="4" w:space="1" w:color="auto"/>
          <w:right w:val="single" w:sz="4" w:space="4" w:color="auto"/>
        </w:pBdr>
        <w:tabs>
          <w:tab w:val="clear" w:pos="360"/>
          <w:tab w:val="num" w:pos="502"/>
          <w:tab w:val="num" w:pos="786"/>
        </w:tabs>
        <w:ind w:left="502"/>
        <w:jc w:val="both"/>
      </w:pPr>
      <w:r w:rsidRPr="00945F6F">
        <w:rPr>
          <w:i/>
          <w:szCs w:val="24"/>
        </w:rPr>
        <w:t>”Konkurrencerådet har i den påklagede afgørelse vurderet omstæ</w:t>
      </w:r>
      <w:r w:rsidRPr="00945F6F">
        <w:rPr>
          <w:i/>
          <w:szCs w:val="24"/>
        </w:rPr>
        <w:t>n</w:t>
      </w:r>
      <w:r w:rsidRPr="00945F6F">
        <w:rPr>
          <w:i/>
          <w:szCs w:val="24"/>
        </w:rPr>
        <w:t>dighederne forud for og efter rådets afgørelse af 14. oktober 2003</w:t>
      </w:r>
      <w:proofErr w:type="gramStart"/>
      <w:r w:rsidRPr="00945F6F">
        <w:rPr>
          <w:i/>
          <w:szCs w:val="24"/>
        </w:rPr>
        <w:t xml:space="preserve"> (jf. pkt.</w:t>
      </w:r>
      <w:proofErr w:type="gramEnd"/>
      <w:r w:rsidRPr="00945F6F">
        <w:rPr>
          <w:i/>
          <w:szCs w:val="24"/>
        </w:rPr>
        <w:t xml:space="preserve"> 155-175) samt analyseret vilkår (5) ved at tage afsæt i de almindelige principper for fortolkning af aftaler</w:t>
      </w:r>
      <w:proofErr w:type="gramStart"/>
      <w:r w:rsidRPr="00945F6F">
        <w:rPr>
          <w:i/>
          <w:szCs w:val="24"/>
        </w:rPr>
        <w:t xml:space="preserve"> (jf. pkt.</w:t>
      </w:r>
      <w:proofErr w:type="gramEnd"/>
      <w:r w:rsidRPr="00945F6F">
        <w:rPr>
          <w:i/>
          <w:szCs w:val="24"/>
        </w:rPr>
        <w:t xml:space="preserve"> 176-184).”</w:t>
      </w:r>
      <w:r w:rsidRPr="00945F6F">
        <w:rPr>
          <w:szCs w:val="24"/>
        </w:rPr>
        <w:t xml:space="preserve"> </w:t>
      </w:r>
    </w:p>
    <w:p w14:paraId="156C8D46" w14:textId="77777777" w:rsidR="00B91F8E" w:rsidRPr="00945F6F" w:rsidRDefault="00B91F8E" w:rsidP="00B91F8E">
      <w:pPr>
        <w:jc w:val="both"/>
      </w:pPr>
    </w:p>
    <w:p w14:paraId="156C8D47" w14:textId="77777777" w:rsidR="00B91F8E" w:rsidRPr="00EC1277" w:rsidRDefault="00B91F8E" w:rsidP="00B91F8E">
      <w:pPr>
        <w:numPr>
          <w:ilvl w:val="0"/>
          <w:numId w:val="2"/>
        </w:numPr>
        <w:tabs>
          <w:tab w:val="clear" w:pos="360"/>
          <w:tab w:val="num" w:pos="502"/>
          <w:tab w:val="num" w:pos="786"/>
        </w:tabs>
        <w:ind w:left="502"/>
        <w:jc w:val="both"/>
        <w:rPr>
          <w:color w:val="808080"/>
        </w:rPr>
      </w:pPr>
      <w:r w:rsidRPr="00EC1277">
        <w:rPr>
          <w:color w:val="808080"/>
        </w:rPr>
        <w:t>Man kan i øvrigt godt ”sige fra” over for et anbringende anført af klageren og angive, at det ikke ændrer på Konkurrencerådets afg</w:t>
      </w:r>
      <w:r w:rsidRPr="00EC1277">
        <w:rPr>
          <w:color w:val="808080"/>
        </w:rPr>
        <w:t>ø</w:t>
      </w:r>
      <w:r w:rsidRPr="00EC1277">
        <w:rPr>
          <w:color w:val="808080"/>
        </w:rPr>
        <w:t>relse.</w:t>
      </w:r>
    </w:p>
    <w:p w14:paraId="156C8D48" w14:textId="77777777" w:rsidR="00B91F8E" w:rsidRPr="00EC1277" w:rsidRDefault="00B91F8E" w:rsidP="00B91F8E">
      <w:pPr>
        <w:jc w:val="both"/>
        <w:rPr>
          <w:color w:val="808080"/>
        </w:rPr>
      </w:pPr>
    </w:p>
    <w:p w14:paraId="156C8D49" w14:textId="77777777" w:rsidR="00B91F8E" w:rsidRPr="00EC1277" w:rsidRDefault="00B91F8E" w:rsidP="00B91F8E">
      <w:pPr>
        <w:numPr>
          <w:ilvl w:val="0"/>
          <w:numId w:val="2"/>
        </w:numPr>
        <w:tabs>
          <w:tab w:val="clear" w:pos="360"/>
          <w:tab w:val="num" w:pos="502"/>
          <w:tab w:val="num" w:pos="786"/>
        </w:tabs>
        <w:ind w:left="502"/>
        <w:jc w:val="both"/>
        <w:rPr>
          <w:color w:val="808080"/>
        </w:rPr>
      </w:pPr>
      <w:r w:rsidRPr="00EC1277">
        <w:rPr>
          <w:color w:val="808080"/>
        </w:rPr>
        <w:t>Der kan godt fremsættes nye anbringender. Men pas på, at sagen i</w:t>
      </w:r>
      <w:r w:rsidRPr="00EC1277">
        <w:rPr>
          <w:color w:val="808080"/>
        </w:rPr>
        <w:t>k</w:t>
      </w:r>
      <w:r w:rsidRPr="00EC1277">
        <w:rPr>
          <w:color w:val="808080"/>
        </w:rPr>
        <w:t>ke derved ændrer så meget karakter, at det bliver en helt anden sag, som Konkurrencerådet ikke har taget stilling til.</w:t>
      </w:r>
    </w:p>
    <w:p w14:paraId="156C8D4A" w14:textId="77777777" w:rsidR="00B91F8E" w:rsidRPr="00EC1277" w:rsidRDefault="00B91F8E" w:rsidP="00B91F8E">
      <w:pPr>
        <w:jc w:val="both"/>
        <w:rPr>
          <w:color w:val="808080"/>
        </w:rPr>
      </w:pPr>
    </w:p>
    <w:p w14:paraId="156C8D4B" w14:textId="77777777" w:rsidR="00B91F8E" w:rsidRPr="00EC1277" w:rsidRDefault="00B91F8E" w:rsidP="00B91F8E">
      <w:pPr>
        <w:numPr>
          <w:ilvl w:val="0"/>
          <w:numId w:val="2"/>
        </w:numPr>
        <w:tabs>
          <w:tab w:val="clear" w:pos="360"/>
          <w:tab w:val="num" w:pos="502"/>
          <w:tab w:val="num" w:pos="786"/>
        </w:tabs>
        <w:ind w:left="502"/>
        <w:jc w:val="both"/>
        <w:rPr>
          <w:color w:val="808080"/>
        </w:rPr>
      </w:pPr>
      <w:r w:rsidRPr="00EC1277">
        <w:rPr>
          <w:color w:val="808080"/>
        </w:rPr>
        <w:t xml:space="preserve">Med hensyn til praksis og litteratur bør man </w:t>
      </w:r>
      <w:proofErr w:type="spellStart"/>
      <w:r w:rsidRPr="00EC1277">
        <w:rPr>
          <w:color w:val="808080"/>
        </w:rPr>
        <w:t>checke</w:t>
      </w:r>
      <w:proofErr w:type="spellEnd"/>
      <w:r w:rsidRPr="00EC1277">
        <w:rPr>
          <w:color w:val="808080"/>
        </w:rPr>
        <w:t xml:space="preserve">, om der siden rådets afgørelse er kommet nyt, som skal nævnes. </w:t>
      </w:r>
    </w:p>
    <w:p w14:paraId="156C8D4C" w14:textId="77777777" w:rsidR="00B91F8E" w:rsidRPr="00EC1277" w:rsidRDefault="00B91F8E" w:rsidP="00B91F8E">
      <w:pPr>
        <w:jc w:val="both"/>
        <w:rPr>
          <w:color w:val="808080"/>
        </w:rPr>
      </w:pPr>
    </w:p>
    <w:p w14:paraId="156C8D4D" w14:textId="77777777" w:rsidR="00B91F8E" w:rsidRPr="00945F6F" w:rsidRDefault="00B91F8E" w:rsidP="00B91F8E">
      <w:pPr>
        <w:numPr>
          <w:ilvl w:val="0"/>
          <w:numId w:val="2"/>
        </w:numPr>
        <w:tabs>
          <w:tab w:val="clear" w:pos="360"/>
          <w:tab w:val="num" w:pos="142"/>
          <w:tab w:val="num" w:pos="502"/>
          <w:tab w:val="num" w:pos="786"/>
        </w:tabs>
        <w:ind w:left="502"/>
        <w:jc w:val="both"/>
      </w:pPr>
      <w:r w:rsidRPr="00EC1277">
        <w:rPr>
          <w:color w:val="808080"/>
        </w:rPr>
        <w:t xml:space="preserve">Hvis der er specielle punkter i en afgørelse eller præmisser i en dom, så citér dem (ordret!), men vedlæg ikke afgørelsen eller dommen. De optrykkes i stedet i en materialesamling, som laves sammen med klageren til brug for det mundtlige indlæg. Der henvises til domme, retsakter og litteratur i overensstemmelse med retningslinjerne i </w:t>
      </w:r>
      <w:proofErr w:type="spellStart"/>
      <w:r w:rsidRPr="00EC1277">
        <w:rPr>
          <w:color w:val="808080"/>
        </w:rPr>
        <w:t>KFST’s</w:t>
      </w:r>
      <w:proofErr w:type="spellEnd"/>
      <w:r w:rsidRPr="00EC1277">
        <w:rPr>
          <w:color w:val="808080"/>
        </w:rPr>
        <w:t xml:space="preserve"> sprogmanual. </w:t>
      </w:r>
    </w:p>
    <w:p w14:paraId="156C8D4E" w14:textId="77777777" w:rsidR="00B91F8E" w:rsidRDefault="00B91F8E" w:rsidP="00B91F8E">
      <w:pPr>
        <w:jc w:val="both"/>
        <w:rPr>
          <w:szCs w:val="24"/>
        </w:rPr>
      </w:pPr>
    </w:p>
    <w:p w14:paraId="156C8D4F" w14:textId="77777777" w:rsidR="00B91F8E" w:rsidRPr="00945F6F" w:rsidRDefault="00B91F8E" w:rsidP="00B91F8E">
      <w:pPr>
        <w:ind w:left="426"/>
        <w:jc w:val="both"/>
        <w:rPr>
          <w:szCs w:val="24"/>
        </w:rPr>
      </w:pPr>
      <w:r>
        <w:rPr>
          <w:szCs w:val="24"/>
        </w:rPr>
        <w:t>Eksempel - opsamlende afsluttende afsnit</w:t>
      </w:r>
    </w:p>
    <w:p w14:paraId="156C8D50" w14:textId="77777777" w:rsidR="00B91F8E" w:rsidRPr="00945F6F" w:rsidRDefault="00B91F8E" w:rsidP="00B91F8E">
      <w:pPr>
        <w:numPr>
          <w:ilvl w:val="0"/>
          <w:numId w:val="2"/>
        </w:numPr>
        <w:pBdr>
          <w:top w:val="single" w:sz="4" w:space="1" w:color="auto"/>
          <w:left w:val="single" w:sz="4" w:space="4" w:color="auto"/>
          <w:bottom w:val="single" w:sz="4" w:space="1" w:color="auto"/>
          <w:right w:val="single" w:sz="4" w:space="4" w:color="auto"/>
        </w:pBdr>
        <w:tabs>
          <w:tab w:val="clear" w:pos="360"/>
          <w:tab w:val="num" w:pos="502"/>
          <w:tab w:val="num" w:pos="786"/>
        </w:tabs>
        <w:ind w:left="502"/>
        <w:jc w:val="both"/>
        <w:rPr>
          <w:i/>
          <w:szCs w:val="24"/>
        </w:rPr>
      </w:pPr>
      <w:r w:rsidRPr="00945F6F">
        <w:rPr>
          <w:i/>
          <w:szCs w:val="24"/>
        </w:rPr>
        <w:lastRenderedPageBreak/>
        <w:t xml:space="preserve">”På denne baggrund var det med rette, at Konkurrencerådet </w:t>
      </w:r>
      <w:r w:rsidRPr="00945F6F">
        <w:rPr>
          <w:i/>
        </w:rPr>
        <w:t>i me</w:t>
      </w:r>
      <w:r w:rsidRPr="00945F6F">
        <w:rPr>
          <w:i/>
        </w:rPr>
        <w:t>d</w:t>
      </w:r>
      <w:r w:rsidRPr="00945F6F">
        <w:rPr>
          <w:i/>
        </w:rPr>
        <w:t>før af konkurrencelovens § 12 e, stk. 3, påbød Nykredit Realkredit A/S ikke at forhøje bidragssatsen på 0,50 pct. for realkreditlån til private, der fra den 14. oktober 2003 at regne er eller vil blive opt</w:t>
      </w:r>
      <w:r w:rsidRPr="00945F6F">
        <w:rPr>
          <w:i/>
        </w:rPr>
        <w:t>a</w:t>
      </w:r>
      <w:r w:rsidRPr="00945F6F">
        <w:rPr>
          <w:i/>
        </w:rPr>
        <w:t>get.”</w:t>
      </w:r>
    </w:p>
    <w:p w14:paraId="156C8D51" w14:textId="77777777" w:rsidR="00B91F8E" w:rsidRPr="00945F6F" w:rsidRDefault="00B91F8E" w:rsidP="00B91F8E"/>
    <w:p w14:paraId="156C8D52" w14:textId="77777777" w:rsidR="00B91F8E" w:rsidRPr="00635F2B" w:rsidRDefault="00B91F8E" w:rsidP="00B91F8E">
      <w:pPr>
        <w:pStyle w:val="Overskrift3"/>
        <w:rPr>
          <w:sz w:val="24"/>
          <w:szCs w:val="24"/>
          <w:u w:val="single"/>
        </w:rPr>
      </w:pPr>
      <w:r w:rsidRPr="00945F6F">
        <w:rPr>
          <w:u w:val="single"/>
        </w:rPr>
        <w:t xml:space="preserve">BEMÆRKNINGER TIL KLAGERENS INDSIGELSER MOD </w:t>
      </w:r>
      <w:r w:rsidRPr="00635F2B">
        <w:rPr>
          <w:u w:val="single"/>
        </w:rPr>
        <w:t>RÅDETS AFGØRELSE</w:t>
      </w:r>
    </w:p>
    <w:p w14:paraId="156C8D53" w14:textId="77777777" w:rsidR="00B91F8E" w:rsidRDefault="00B91F8E" w:rsidP="00B91F8E">
      <w:pPr>
        <w:jc w:val="both"/>
        <w:rPr>
          <w:szCs w:val="24"/>
        </w:rPr>
      </w:pPr>
    </w:p>
    <w:p w14:paraId="156C8D54" w14:textId="77777777" w:rsidR="00B91F8E" w:rsidRPr="00945F6F" w:rsidRDefault="00B91F8E" w:rsidP="00B91F8E">
      <w:pPr>
        <w:numPr>
          <w:ilvl w:val="0"/>
          <w:numId w:val="2"/>
        </w:numPr>
        <w:tabs>
          <w:tab w:val="clear" w:pos="360"/>
          <w:tab w:val="num" w:pos="502"/>
          <w:tab w:val="num" w:pos="786"/>
        </w:tabs>
        <w:ind w:left="502"/>
        <w:jc w:val="both"/>
        <w:rPr>
          <w:szCs w:val="24"/>
        </w:rPr>
      </w:pPr>
      <w:r w:rsidRPr="00945F6F">
        <w:rPr>
          <w:szCs w:val="24"/>
        </w:rPr>
        <w:t>I det følgende kommenteres de af klagerens indsigelser til den p</w:t>
      </w:r>
      <w:r w:rsidRPr="00945F6F">
        <w:rPr>
          <w:szCs w:val="24"/>
        </w:rPr>
        <w:t>å</w:t>
      </w:r>
      <w:r w:rsidRPr="00945F6F">
        <w:rPr>
          <w:szCs w:val="24"/>
        </w:rPr>
        <w:t>klagede afgørelse, som der ikke allerede er gjort op med ovenfor ved gennemgangen af det juridiske grundlag for Konkurrencerådets a</w:t>
      </w:r>
      <w:r w:rsidRPr="00945F6F">
        <w:rPr>
          <w:szCs w:val="24"/>
        </w:rPr>
        <w:t>f</w:t>
      </w:r>
      <w:r w:rsidRPr="00945F6F">
        <w:rPr>
          <w:szCs w:val="24"/>
        </w:rPr>
        <w:t>gørelse.</w:t>
      </w:r>
    </w:p>
    <w:p w14:paraId="156C8D55" w14:textId="77777777" w:rsidR="00B91F8E" w:rsidRDefault="00B91F8E" w:rsidP="00B91F8E">
      <w:pPr>
        <w:jc w:val="both"/>
        <w:rPr>
          <w:color w:val="808080"/>
          <w:szCs w:val="24"/>
        </w:rPr>
      </w:pPr>
    </w:p>
    <w:p w14:paraId="156C8D56" w14:textId="77777777" w:rsidR="00B91F8E" w:rsidRDefault="00B91F8E" w:rsidP="00B91F8E">
      <w:pPr>
        <w:numPr>
          <w:ilvl w:val="0"/>
          <w:numId w:val="2"/>
        </w:numPr>
        <w:tabs>
          <w:tab w:val="clear" w:pos="360"/>
          <w:tab w:val="num" w:pos="502"/>
          <w:tab w:val="num" w:pos="786"/>
        </w:tabs>
        <w:ind w:left="502"/>
        <w:jc w:val="both"/>
        <w:rPr>
          <w:color w:val="808080"/>
          <w:szCs w:val="24"/>
        </w:rPr>
      </w:pPr>
      <w:r w:rsidRPr="00F233B9">
        <w:rPr>
          <w:color w:val="808080"/>
          <w:szCs w:val="24"/>
        </w:rPr>
        <w:t>Hvis klager</w:t>
      </w:r>
      <w:r>
        <w:rPr>
          <w:color w:val="808080"/>
          <w:szCs w:val="24"/>
        </w:rPr>
        <w:t>en</w:t>
      </w:r>
      <w:r w:rsidRPr="00F233B9">
        <w:rPr>
          <w:color w:val="808080"/>
          <w:szCs w:val="24"/>
        </w:rPr>
        <w:t xml:space="preserve"> har lavet en god disposition for behandlingen af sine anbringender, er der ikke behov for et langt citat fra klageskriftet. Men hvis dette ikke er tilfældet, kan der være behov for at gentage klagerens argumentation forholdsvis udførligt, før der svares på den. Herved letter man ankenævnets behandling</w:t>
      </w:r>
      <w:r>
        <w:rPr>
          <w:color w:val="808080"/>
          <w:szCs w:val="24"/>
        </w:rPr>
        <w:t xml:space="preserve">, idet </w:t>
      </w:r>
      <w:r w:rsidRPr="00F233B9">
        <w:rPr>
          <w:color w:val="808080"/>
          <w:szCs w:val="24"/>
        </w:rPr>
        <w:t xml:space="preserve">ankenævnet </w:t>
      </w:r>
      <w:r>
        <w:rPr>
          <w:color w:val="808080"/>
          <w:szCs w:val="24"/>
        </w:rPr>
        <w:t xml:space="preserve">slipper </w:t>
      </w:r>
      <w:r w:rsidRPr="00F233B9">
        <w:rPr>
          <w:color w:val="808080"/>
          <w:szCs w:val="24"/>
        </w:rPr>
        <w:t>for at skulle ”krydslæse”</w:t>
      </w:r>
      <w:r>
        <w:rPr>
          <w:color w:val="808080"/>
          <w:szCs w:val="24"/>
        </w:rPr>
        <w:t xml:space="preserve"> mellem klagers anbringender og Rådets svar herpå</w:t>
      </w:r>
      <w:r w:rsidRPr="00F233B9">
        <w:rPr>
          <w:color w:val="808080"/>
          <w:szCs w:val="24"/>
        </w:rPr>
        <w:t>.</w:t>
      </w:r>
    </w:p>
    <w:p w14:paraId="156C8D57" w14:textId="77777777" w:rsidR="00B91F8E" w:rsidRDefault="00B91F8E" w:rsidP="00B91F8E">
      <w:pPr>
        <w:ind w:left="502"/>
        <w:jc w:val="both"/>
        <w:rPr>
          <w:color w:val="808080"/>
          <w:szCs w:val="24"/>
        </w:rPr>
      </w:pPr>
    </w:p>
    <w:p w14:paraId="156C8D58" w14:textId="77777777" w:rsidR="00B91F8E" w:rsidRPr="00736995" w:rsidRDefault="00B91F8E" w:rsidP="00B91F8E">
      <w:pPr>
        <w:numPr>
          <w:ilvl w:val="0"/>
          <w:numId w:val="2"/>
        </w:numPr>
        <w:tabs>
          <w:tab w:val="clear" w:pos="360"/>
          <w:tab w:val="num" w:pos="502"/>
          <w:tab w:val="num" w:pos="786"/>
        </w:tabs>
        <w:ind w:left="502"/>
        <w:jc w:val="both"/>
        <w:rPr>
          <w:color w:val="808080"/>
          <w:szCs w:val="24"/>
        </w:rPr>
      </w:pPr>
      <w:r w:rsidRPr="00736995">
        <w:rPr>
          <w:color w:val="808080"/>
          <w:szCs w:val="24"/>
        </w:rPr>
        <w:t>Der bør som udgangspunkt ikke fremsættes provokationer om s</w:t>
      </w:r>
      <w:r w:rsidRPr="00736995">
        <w:rPr>
          <w:color w:val="808080"/>
          <w:szCs w:val="24"/>
        </w:rPr>
        <w:t>a</w:t>
      </w:r>
      <w:r w:rsidRPr="00736995">
        <w:rPr>
          <w:color w:val="808080"/>
          <w:szCs w:val="24"/>
        </w:rPr>
        <w:t>gens faktiske omstændigheder, fx fremlæggelse af en aftale. Ko</w:t>
      </w:r>
      <w:r w:rsidRPr="00736995">
        <w:rPr>
          <w:color w:val="808080"/>
          <w:szCs w:val="24"/>
        </w:rPr>
        <w:t>n</w:t>
      </w:r>
      <w:r w:rsidRPr="00736995">
        <w:rPr>
          <w:color w:val="808080"/>
          <w:szCs w:val="24"/>
        </w:rPr>
        <w:t>kurrence-styrelsen bærer risikoen for, at sagen er bedst muligt o</w:t>
      </w:r>
      <w:r w:rsidRPr="00736995">
        <w:rPr>
          <w:color w:val="808080"/>
          <w:szCs w:val="24"/>
        </w:rPr>
        <w:t>p</w:t>
      </w:r>
      <w:r w:rsidRPr="00736995">
        <w:rPr>
          <w:color w:val="808080"/>
          <w:szCs w:val="24"/>
        </w:rPr>
        <w:t>lyst.</w:t>
      </w:r>
    </w:p>
    <w:p w14:paraId="156C8D59" w14:textId="77777777" w:rsidR="00B91F8E" w:rsidRDefault="00B91F8E" w:rsidP="00B91F8E">
      <w:pPr>
        <w:ind w:left="502"/>
        <w:jc w:val="both"/>
        <w:rPr>
          <w:szCs w:val="24"/>
        </w:rPr>
      </w:pPr>
    </w:p>
    <w:p w14:paraId="156C8D5A" w14:textId="77777777" w:rsidR="00B91F8E" w:rsidRPr="00D85385" w:rsidRDefault="00B91F8E" w:rsidP="00B91F8E">
      <w:pPr>
        <w:ind w:left="502"/>
        <w:jc w:val="both"/>
        <w:rPr>
          <w:szCs w:val="24"/>
        </w:rPr>
      </w:pPr>
      <w:r>
        <w:rPr>
          <w:szCs w:val="24"/>
        </w:rPr>
        <w:t>Eksempler – opfordringer</w:t>
      </w:r>
    </w:p>
    <w:p w14:paraId="156C8D5B" w14:textId="77777777" w:rsidR="00B91F8E" w:rsidRDefault="00B91F8E" w:rsidP="00B91F8E">
      <w:pPr>
        <w:numPr>
          <w:ilvl w:val="0"/>
          <w:numId w:val="2"/>
        </w:numPr>
        <w:pBdr>
          <w:top w:val="single" w:sz="4" w:space="1" w:color="auto"/>
          <w:left w:val="single" w:sz="4" w:space="4" w:color="auto"/>
          <w:bottom w:val="single" w:sz="4" w:space="1" w:color="auto"/>
          <w:right w:val="single" w:sz="4" w:space="4" w:color="auto"/>
        </w:pBdr>
        <w:tabs>
          <w:tab w:val="clear" w:pos="360"/>
          <w:tab w:val="num" w:pos="502"/>
          <w:tab w:val="num" w:pos="786"/>
        </w:tabs>
        <w:ind w:left="502"/>
        <w:jc w:val="both"/>
        <w:rPr>
          <w:i/>
          <w:szCs w:val="24"/>
        </w:rPr>
      </w:pPr>
      <w:r w:rsidRPr="00945F6F">
        <w:rPr>
          <w:i/>
          <w:szCs w:val="24"/>
        </w:rPr>
        <w:t xml:space="preserve">”I tilfælde af, at klageren fastholder denne indsigelse, </w:t>
      </w:r>
      <w:r w:rsidRPr="00945F6F">
        <w:rPr>
          <w:i/>
          <w:szCs w:val="24"/>
          <w:u w:val="single"/>
        </w:rPr>
        <w:t>opfordres klageren til at oplyse</w:t>
      </w:r>
      <w:r w:rsidRPr="00945F6F">
        <w:rPr>
          <w:i/>
          <w:szCs w:val="24"/>
        </w:rPr>
        <w:t xml:space="preserve"> det retlige grundlag, som denne indsigelse støttes på.”</w:t>
      </w:r>
    </w:p>
    <w:p w14:paraId="156C8D5C" w14:textId="77777777" w:rsidR="00B91F8E" w:rsidRPr="00CF0301" w:rsidRDefault="00B91F8E" w:rsidP="00B91F8E">
      <w:pPr>
        <w:numPr>
          <w:ilvl w:val="0"/>
          <w:numId w:val="2"/>
        </w:numPr>
        <w:pBdr>
          <w:top w:val="single" w:sz="4" w:space="1" w:color="auto"/>
          <w:left w:val="single" w:sz="4" w:space="4" w:color="auto"/>
          <w:bottom w:val="single" w:sz="4" w:space="1" w:color="auto"/>
          <w:right w:val="single" w:sz="4" w:space="4" w:color="auto"/>
        </w:pBdr>
        <w:tabs>
          <w:tab w:val="clear" w:pos="360"/>
          <w:tab w:val="num" w:pos="502"/>
          <w:tab w:val="num" w:pos="786"/>
        </w:tabs>
        <w:ind w:left="502"/>
        <w:jc w:val="both"/>
        <w:rPr>
          <w:i/>
          <w:szCs w:val="24"/>
        </w:rPr>
      </w:pPr>
      <w:r w:rsidRPr="00CF0301">
        <w:rPr>
          <w:i/>
          <w:szCs w:val="24"/>
        </w:rPr>
        <w:t>”Klageren har endvidere anført, at … Dette forekommer uklart, og klageren opfordres til at præcisere, om dette gøres gældende som et anbringende, og i givet fald til støtte for hvilken element i klagen.”</w:t>
      </w:r>
    </w:p>
    <w:p w14:paraId="156C8D5D" w14:textId="77777777" w:rsidR="00B91F8E" w:rsidRDefault="00B91F8E" w:rsidP="00B91F8E">
      <w:pPr>
        <w:numPr>
          <w:ilvl w:val="0"/>
          <w:numId w:val="2"/>
        </w:numPr>
        <w:pBdr>
          <w:top w:val="single" w:sz="4" w:space="1" w:color="auto"/>
          <w:left w:val="single" w:sz="4" w:space="4" w:color="auto"/>
          <w:bottom w:val="single" w:sz="4" w:space="1" w:color="auto"/>
          <w:right w:val="single" w:sz="4" w:space="4" w:color="auto"/>
        </w:pBdr>
        <w:tabs>
          <w:tab w:val="clear" w:pos="360"/>
          <w:tab w:val="num" w:pos="502"/>
          <w:tab w:val="num" w:pos="786"/>
        </w:tabs>
        <w:ind w:left="502"/>
        <w:jc w:val="both"/>
        <w:rPr>
          <w:i/>
          <w:szCs w:val="24"/>
        </w:rPr>
      </w:pPr>
      <w:r>
        <w:rPr>
          <w:i/>
          <w:szCs w:val="24"/>
        </w:rPr>
        <w:t>Til opfyldelse af klagerens provokation indeholdt s-. 3 i klageskri</w:t>
      </w:r>
      <w:r>
        <w:rPr>
          <w:i/>
          <w:szCs w:val="24"/>
        </w:rPr>
        <w:t>f</w:t>
      </w:r>
      <w:r>
        <w:rPr>
          <w:i/>
          <w:szCs w:val="24"/>
        </w:rPr>
        <w:t xml:space="preserve">tet, fremlægges som </w:t>
      </w:r>
      <w:r>
        <w:rPr>
          <w:i/>
          <w:szCs w:val="24"/>
          <w:u w:val="single"/>
        </w:rPr>
        <w:t>bilag B</w:t>
      </w:r>
      <w:r>
        <w:rPr>
          <w:i/>
          <w:szCs w:val="24"/>
        </w:rPr>
        <w:t xml:space="preserve">…” </w:t>
      </w:r>
    </w:p>
    <w:p w14:paraId="156C8D5E" w14:textId="77777777" w:rsidR="00B91F8E" w:rsidRDefault="00B91F8E" w:rsidP="00B91F8E">
      <w:pPr>
        <w:jc w:val="both"/>
        <w:rPr>
          <w:color w:val="808080"/>
          <w:szCs w:val="24"/>
        </w:rPr>
      </w:pPr>
    </w:p>
    <w:p w14:paraId="156C8D5F" w14:textId="77777777" w:rsidR="00B91F8E" w:rsidRPr="00F233B9" w:rsidRDefault="00B91F8E" w:rsidP="00B91F8E">
      <w:pPr>
        <w:pStyle w:val="Overskrift3"/>
        <w:rPr>
          <w:u w:val="single"/>
        </w:rPr>
      </w:pPr>
      <w:r w:rsidRPr="00F233B9">
        <w:rPr>
          <w:u w:val="single"/>
        </w:rPr>
        <w:t>DOKUMENTER</w:t>
      </w:r>
    </w:p>
    <w:p w14:paraId="156C8D60" w14:textId="77777777" w:rsidR="00B91F8E" w:rsidRPr="00F233B9" w:rsidRDefault="00B91F8E" w:rsidP="00B91F8E"/>
    <w:p w14:paraId="156C8D61" w14:textId="77777777" w:rsidR="00B91F8E" w:rsidRDefault="00B91F8E" w:rsidP="00B91F8E">
      <w:r>
        <w:t>som påberåbes:</w:t>
      </w:r>
    </w:p>
    <w:p w14:paraId="156C8D62" w14:textId="77777777" w:rsidR="00B91F8E" w:rsidRDefault="00B91F8E" w:rsidP="00B91F8E"/>
    <w:p w14:paraId="156C8D63" w14:textId="77777777" w:rsidR="00B91F8E" w:rsidRPr="00D76111" w:rsidRDefault="00B91F8E" w:rsidP="00B91F8E">
      <w:r w:rsidRPr="00D76111">
        <w:t>Bilag A:</w:t>
      </w:r>
      <w:r w:rsidRPr="00D76111">
        <w:tab/>
        <w:t xml:space="preserve">Konkurrencerådets afgørelse af </w:t>
      </w:r>
      <w:proofErr w:type="gramStart"/>
      <w:r>
        <w:t>…</w:t>
      </w:r>
      <w:r w:rsidRPr="00D76111">
        <w:t>.</w:t>
      </w:r>
      <w:proofErr w:type="gramEnd"/>
    </w:p>
    <w:p w14:paraId="156C8D64" w14:textId="77777777" w:rsidR="00B91F8E" w:rsidRPr="00D76111" w:rsidRDefault="00B91F8E" w:rsidP="00B91F8E">
      <w:pPr>
        <w:rPr>
          <w:lang w:val="en-GB"/>
        </w:rPr>
      </w:pPr>
      <w:proofErr w:type="spellStart"/>
      <w:r w:rsidRPr="00B91F8E">
        <w:rPr>
          <w:lang w:val="en-US"/>
        </w:rPr>
        <w:t>Bilag</w:t>
      </w:r>
      <w:proofErr w:type="spellEnd"/>
      <w:r w:rsidRPr="00D76111">
        <w:rPr>
          <w:lang w:val="en-GB"/>
        </w:rPr>
        <w:t xml:space="preserve"> A1:</w:t>
      </w:r>
    </w:p>
    <w:p w14:paraId="156C8D65" w14:textId="77777777" w:rsidR="00B91F8E" w:rsidRPr="00D76111" w:rsidRDefault="00B91F8E" w:rsidP="00B91F8E">
      <w:pPr>
        <w:rPr>
          <w:lang w:val="en-GB"/>
        </w:rPr>
      </w:pPr>
      <w:proofErr w:type="spellStart"/>
      <w:r w:rsidRPr="00B91F8E">
        <w:rPr>
          <w:lang w:val="en-US"/>
        </w:rPr>
        <w:lastRenderedPageBreak/>
        <w:t>Bilag</w:t>
      </w:r>
      <w:proofErr w:type="spellEnd"/>
      <w:r w:rsidRPr="00D76111">
        <w:rPr>
          <w:lang w:val="en-GB"/>
        </w:rPr>
        <w:t xml:space="preserve"> A2:</w:t>
      </w:r>
    </w:p>
    <w:p w14:paraId="156C8D66" w14:textId="77777777" w:rsidR="00B91F8E" w:rsidRPr="00D76111" w:rsidRDefault="00B91F8E" w:rsidP="00B91F8E">
      <w:pPr>
        <w:rPr>
          <w:lang w:val="en-GB"/>
        </w:rPr>
      </w:pPr>
      <w:proofErr w:type="spellStart"/>
      <w:r w:rsidRPr="00B91F8E">
        <w:rPr>
          <w:lang w:val="en-US"/>
        </w:rPr>
        <w:t>Bilag</w:t>
      </w:r>
      <w:proofErr w:type="spellEnd"/>
      <w:r w:rsidRPr="00D76111">
        <w:rPr>
          <w:lang w:val="en-GB"/>
        </w:rPr>
        <w:t xml:space="preserve"> A3:</w:t>
      </w:r>
    </w:p>
    <w:p w14:paraId="156C8D67" w14:textId="77777777" w:rsidR="00B91F8E" w:rsidRDefault="00B91F8E" w:rsidP="00B91F8E">
      <w:r w:rsidRPr="00D76111">
        <w:t>Bilag B:</w:t>
      </w:r>
    </w:p>
    <w:p w14:paraId="156C8D68" w14:textId="77777777" w:rsidR="00B91F8E" w:rsidRDefault="00B91F8E" w:rsidP="00B91F8E">
      <w:pPr>
        <w:pStyle w:val="Brdtekst"/>
        <w:rPr>
          <w:color w:val="808080"/>
        </w:rPr>
      </w:pPr>
    </w:p>
    <w:p w14:paraId="156C8D69" w14:textId="77777777" w:rsidR="00B91F8E" w:rsidRPr="00751735" w:rsidRDefault="00B91F8E" w:rsidP="00B91F8E">
      <w:pPr>
        <w:rPr>
          <w:color w:val="808080"/>
        </w:rPr>
      </w:pPr>
      <w:r w:rsidRPr="00751735">
        <w:rPr>
          <w:color w:val="808080"/>
        </w:rPr>
        <w:t>Husk at man aldrig benytter bogstav I.</w:t>
      </w:r>
    </w:p>
    <w:p w14:paraId="156C8D6A" w14:textId="77777777" w:rsidR="00B91F8E" w:rsidRDefault="00B91F8E" w:rsidP="00B91F8E">
      <w:pPr>
        <w:pStyle w:val="Brdtekst"/>
        <w:jc w:val="center"/>
      </w:pPr>
    </w:p>
    <w:p w14:paraId="156C8D6B" w14:textId="77777777" w:rsidR="00B91F8E" w:rsidRPr="00751735" w:rsidRDefault="00B91F8E" w:rsidP="00B91F8E">
      <w:pPr>
        <w:jc w:val="center"/>
        <w:rPr>
          <w:color w:val="808080"/>
        </w:rPr>
      </w:pPr>
      <w:r>
        <w:t>Valby, den</w:t>
      </w:r>
      <w:r w:rsidRPr="00751735">
        <w:rPr>
          <w:color w:val="808080"/>
        </w:rPr>
        <w:t xml:space="preserve"> [dato]</w:t>
      </w:r>
    </w:p>
    <w:p w14:paraId="156C8D6C" w14:textId="77777777" w:rsidR="00B91F8E" w:rsidRPr="00751735" w:rsidRDefault="00B91F8E" w:rsidP="00B91F8E">
      <w:pPr>
        <w:jc w:val="center"/>
        <w:rPr>
          <w:color w:val="808080"/>
        </w:rPr>
      </w:pPr>
    </w:p>
    <w:p w14:paraId="156C8D6D" w14:textId="77777777" w:rsidR="00B91F8E" w:rsidRDefault="00B91F8E" w:rsidP="00B91F8E">
      <w:pPr>
        <w:jc w:val="center"/>
        <w:rPr>
          <w:color w:val="808080"/>
        </w:rPr>
      </w:pPr>
      <w:r w:rsidRPr="00751735">
        <w:rPr>
          <w:color w:val="808080"/>
        </w:rPr>
        <w:t>[navn]</w:t>
      </w:r>
    </w:p>
    <w:p w14:paraId="156C8D6E" w14:textId="77777777" w:rsidR="00BB5E75" w:rsidRPr="00840960" w:rsidRDefault="00BB5E75" w:rsidP="00B91F8E">
      <w:pPr>
        <w:spacing w:line="280" w:lineRule="atLeast"/>
      </w:pPr>
    </w:p>
    <w:sectPr w:rsidR="00BB5E75" w:rsidRPr="00840960" w:rsidSect="003A1F35">
      <w:footerReference w:type="default" r:id="rId10"/>
      <w:headerReference w:type="first" r:id="rId11"/>
      <w:pgSz w:w="11906" w:h="16838"/>
      <w:pgMar w:top="2325" w:right="3686" w:bottom="794" w:left="1106" w:header="226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C8D71" w14:textId="77777777" w:rsidR="00B60AFB" w:rsidRDefault="00B60AFB" w:rsidP="00291615">
      <w:pPr>
        <w:spacing w:line="240" w:lineRule="auto"/>
      </w:pPr>
      <w:r>
        <w:separator/>
      </w:r>
    </w:p>
  </w:endnote>
  <w:endnote w:type="continuationSeparator" w:id="0">
    <w:p w14:paraId="156C8D72" w14:textId="77777777" w:rsidR="00B60AFB" w:rsidRDefault="00B60AFB" w:rsidP="00291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C8D73" w14:textId="77777777" w:rsidR="003A1F35" w:rsidRDefault="003A1F35">
    <w:pPr>
      <w:pStyle w:val="Sidefod"/>
      <w:jc w:val="right"/>
    </w:pPr>
    <w:r>
      <w:tab/>
    </w:r>
    <w:r>
      <w:tab/>
    </w:r>
    <w:sdt>
      <w:sdtPr>
        <w:id w:val="97538563"/>
        <w:docPartObj>
          <w:docPartGallery w:val="Page Numbers (Bottom of Page)"/>
          <w:docPartUnique/>
        </w:docPartObj>
      </w:sdtPr>
      <w:sdtEndPr/>
      <w:sdtContent>
        <w:r>
          <w:fldChar w:fldCharType="begin"/>
        </w:r>
        <w:r>
          <w:instrText>PAGE   \* MERGEFORMAT</w:instrText>
        </w:r>
        <w:r>
          <w:fldChar w:fldCharType="separate"/>
        </w:r>
        <w:r w:rsidR="005B1C67">
          <w:rPr>
            <w:noProof/>
          </w:rPr>
          <w:t>2</w:t>
        </w:r>
        <w:r>
          <w:fldChar w:fldCharType="end"/>
        </w:r>
      </w:sdtContent>
    </w:sdt>
  </w:p>
  <w:p w14:paraId="156C8D74" w14:textId="77777777" w:rsidR="003A1F35" w:rsidRDefault="003A1F35">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C8D6F" w14:textId="77777777" w:rsidR="00B60AFB" w:rsidRDefault="00B60AFB" w:rsidP="00291615">
      <w:pPr>
        <w:spacing w:line="240" w:lineRule="auto"/>
      </w:pPr>
      <w:r>
        <w:separator/>
      </w:r>
    </w:p>
  </w:footnote>
  <w:footnote w:type="continuationSeparator" w:id="0">
    <w:p w14:paraId="156C8D70" w14:textId="77777777" w:rsidR="00B60AFB" w:rsidRDefault="00B60AFB" w:rsidP="002916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C8D75" w14:textId="77777777" w:rsidR="00840960" w:rsidRDefault="003A1F35">
    <w:pPr>
      <w:pStyle w:val="Sidehoved"/>
    </w:pPr>
    <w:r>
      <w:rPr>
        <w:noProof/>
        <w:lang w:eastAsia="da-DK"/>
      </w:rPr>
      <w:drawing>
        <wp:anchor distT="0" distB="0" distL="114300" distR="114300" simplePos="0" relativeHeight="251662336" behindDoc="1" locked="0" layoutInCell="1" allowOverlap="1" wp14:anchorId="156C8D76" wp14:editId="156C8D77">
          <wp:simplePos x="0" y="0"/>
          <wp:positionH relativeFrom="column">
            <wp:posOffset>1325245</wp:posOffset>
          </wp:positionH>
          <wp:positionV relativeFrom="paragraph">
            <wp:posOffset>-1116330</wp:posOffset>
          </wp:positionV>
          <wp:extent cx="3448685" cy="676275"/>
          <wp:effectExtent l="0" t="0" r="0" b="0"/>
          <wp:wrapNone/>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8685" cy="676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91D43"/>
    <w:multiLevelType w:val="singleLevel"/>
    <w:tmpl w:val="3B9885B2"/>
    <w:lvl w:ilvl="0">
      <w:start w:val="1"/>
      <w:numFmt w:val="decimal"/>
      <w:lvlText w:val="%1."/>
      <w:lvlJc w:val="left"/>
      <w:pPr>
        <w:tabs>
          <w:tab w:val="num" w:pos="360"/>
        </w:tabs>
        <w:ind w:left="360" w:hanging="360"/>
      </w:pPr>
      <w:rPr>
        <w:b w:val="0"/>
        <w:i w:val="0"/>
        <w:sz w:val="22"/>
        <w:u w:val="none"/>
      </w:rPr>
    </w:lvl>
  </w:abstractNum>
  <w:abstractNum w:abstractNumId="1">
    <w:nsid w:val="311C46BA"/>
    <w:multiLevelType w:val="singleLevel"/>
    <w:tmpl w:val="F9B66CEE"/>
    <w:lvl w:ilvl="0">
      <w:start w:val="2"/>
      <w:numFmt w:val="decimal"/>
      <w:lvlText w:val="%1."/>
      <w:lvlJc w:val="left"/>
      <w:pPr>
        <w:tabs>
          <w:tab w:val="num" w:pos="360"/>
        </w:tabs>
        <w:ind w:left="360" w:hanging="360"/>
      </w:pPr>
      <w:rPr>
        <w:b w:val="0"/>
        <w:i w:val="0"/>
        <w:sz w:val="22"/>
        <w:u w:val="none"/>
      </w:rPr>
    </w:lvl>
  </w:abstractNum>
  <w:abstractNum w:abstractNumId="2">
    <w:nsid w:val="6883354C"/>
    <w:multiLevelType w:val="singleLevel"/>
    <w:tmpl w:val="523674C6"/>
    <w:lvl w:ilvl="0">
      <w:start w:val="11"/>
      <w:numFmt w:val="decimal"/>
      <w:pStyle w:val="Nummereretafsnit"/>
      <w:lvlText w:val="%1."/>
      <w:lvlJc w:val="left"/>
      <w:pPr>
        <w:tabs>
          <w:tab w:val="num" w:pos="360"/>
        </w:tabs>
        <w:ind w:left="360" w:hanging="360"/>
      </w:pPr>
      <w:rPr>
        <w:b w:val="0"/>
        <w:i w:val="0"/>
        <w:sz w:val="22"/>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615"/>
    <w:rsid w:val="001E553E"/>
    <w:rsid w:val="00291615"/>
    <w:rsid w:val="0034295E"/>
    <w:rsid w:val="00374E49"/>
    <w:rsid w:val="003A1F35"/>
    <w:rsid w:val="00404121"/>
    <w:rsid w:val="004237F3"/>
    <w:rsid w:val="00474CA4"/>
    <w:rsid w:val="004C6479"/>
    <w:rsid w:val="005571D1"/>
    <w:rsid w:val="005B1C67"/>
    <w:rsid w:val="00726321"/>
    <w:rsid w:val="00763BA0"/>
    <w:rsid w:val="008336B3"/>
    <w:rsid w:val="00840960"/>
    <w:rsid w:val="00976855"/>
    <w:rsid w:val="00A720E9"/>
    <w:rsid w:val="00AE3142"/>
    <w:rsid w:val="00AE3AA6"/>
    <w:rsid w:val="00B14F7C"/>
    <w:rsid w:val="00B60AFB"/>
    <w:rsid w:val="00B840AC"/>
    <w:rsid w:val="00B91F8E"/>
    <w:rsid w:val="00BB5E75"/>
    <w:rsid w:val="00BC218A"/>
    <w:rsid w:val="00C169BD"/>
    <w:rsid w:val="00D53669"/>
    <w:rsid w:val="00D74895"/>
    <w:rsid w:val="00D8707B"/>
    <w:rsid w:val="00D92B4A"/>
    <w:rsid w:val="00EC0AF4"/>
    <w:rsid w:val="00ED5F01"/>
    <w:rsid w:val="00F26F80"/>
    <w:rsid w:val="00F774EA"/>
    <w:rsid w:val="00FA6274"/>
    <w:rsid w:val="00FF46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6C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74"/>
    <w:pPr>
      <w:spacing w:after="0" w:line="280" w:lineRule="exact"/>
    </w:pPr>
    <w:rPr>
      <w:rFonts w:ascii="Times New Roman" w:eastAsia="Times New Roman" w:hAnsi="Times New Roman" w:cs="Times New Roman"/>
      <w:sz w:val="24"/>
      <w:szCs w:val="20"/>
      <w:lang w:eastAsia="da-DK"/>
    </w:rPr>
  </w:style>
  <w:style w:type="paragraph" w:styleId="Overskrift1">
    <w:name w:val="heading 1"/>
    <w:basedOn w:val="Normal"/>
    <w:next w:val="Brdtekst"/>
    <w:link w:val="Overskrift1Tegn"/>
    <w:qFormat/>
    <w:rsid w:val="00BB5E75"/>
    <w:pPr>
      <w:keepNext/>
      <w:outlineLvl w:val="0"/>
    </w:pPr>
    <w:rPr>
      <w:b/>
    </w:rPr>
  </w:style>
  <w:style w:type="paragraph" w:styleId="Overskrift2">
    <w:name w:val="heading 2"/>
    <w:basedOn w:val="Normal"/>
    <w:next w:val="Normal"/>
    <w:link w:val="Overskrift2Tegn"/>
    <w:qFormat/>
    <w:rsid w:val="00FF466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B91F8E"/>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291615"/>
  </w:style>
  <w:style w:type="paragraph" w:styleId="Sidefod">
    <w:name w:val="footer"/>
    <w:basedOn w:val="Normal"/>
    <w:link w:val="SidefodTegn"/>
    <w:uiPriority w:val="99"/>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291615"/>
  </w:style>
  <w:style w:type="paragraph" w:customStyle="1" w:styleId="skakt">
    <w:name w:val="skakt"/>
    <w:basedOn w:val="Normal"/>
    <w:rsid w:val="00FA6274"/>
    <w:pPr>
      <w:framePr w:w="2268" w:h="8505" w:hSpace="142" w:wrap="around" w:vAnchor="text" w:hAnchor="page" w:x="8931" w:y="1" w:anchorLock="1"/>
    </w:pPr>
    <w:rPr>
      <w:rFonts w:ascii="Arial" w:hAnsi="Arial"/>
      <w:sz w:val="16"/>
    </w:rPr>
  </w:style>
  <w:style w:type="paragraph" w:customStyle="1" w:styleId="datomv">
    <w:name w:val="datomv"/>
    <w:basedOn w:val="skakt"/>
    <w:rsid w:val="00FA6274"/>
    <w:pPr>
      <w:framePr w:w="0" w:hRule="auto" w:wrap="around" w:x="9073"/>
    </w:pPr>
    <w:rPr>
      <w:rFonts w:ascii="Times New Roman" w:hAnsi="Times New Roman"/>
      <w:sz w:val="24"/>
    </w:rPr>
  </w:style>
  <w:style w:type="character" w:styleId="Pladsholdertekst">
    <w:name w:val="Placeholder Text"/>
    <w:basedOn w:val="Standardskrifttypeiafsnit"/>
    <w:uiPriority w:val="99"/>
    <w:semiHidden/>
    <w:rsid w:val="00FA6274"/>
    <w:rPr>
      <w:color w:val="808080"/>
    </w:rPr>
  </w:style>
  <w:style w:type="paragraph" w:styleId="Markeringsbobletekst">
    <w:name w:val="Balloon Text"/>
    <w:basedOn w:val="Normal"/>
    <w:link w:val="MarkeringsbobletekstTegn"/>
    <w:uiPriority w:val="99"/>
    <w:semiHidden/>
    <w:unhideWhenUsed/>
    <w:rsid w:val="00FA627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A6274"/>
    <w:rPr>
      <w:rFonts w:ascii="Tahoma" w:eastAsia="Times New Roman" w:hAnsi="Tahoma" w:cs="Tahoma"/>
      <w:sz w:val="16"/>
      <w:szCs w:val="16"/>
      <w:lang w:eastAsia="da-DK"/>
    </w:rPr>
  </w:style>
  <w:style w:type="character" w:customStyle="1" w:styleId="Overskrift1Tegn">
    <w:name w:val="Overskrift 1 Tegn"/>
    <w:basedOn w:val="Standardskrifttypeiafsnit"/>
    <w:link w:val="Overskrift1"/>
    <w:rsid w:val="00BB5E75"/>
    <w:rPr>
      <w:rFonts w:ascii="Times New Roman" w:eastAsia="Times New Roman" w:hAnsi="Times New Roman" w:cs="Times New Roman"/>
      <w:b/>
      <w:sz w:val="24"/>
      <w:szCs w:val="20"/>
      <w:lang w:eastAsia="da-DK"/>
    </w:rPr>
  </w:style>
  <w:style w:type="paragraph" w:styleId="Brdtekst">
    <w:name w:val="Body Text"/>
    <w:basedOn w:val="Normal"/>
    <w:link w:val="BrdtekstTegn"/>
    <w:uiPriority w:val="99"/>
    <w:semiHidden/>
    <w:unhideWhenUsed/>
    <w:rsid w:val="00BB5E75"/>
    <w:pPr>
      <w:spacing w:after="120"/>
    </w:pPr>
  </w:style>
  <w:style w:type="character" w:customStyle="1" w:styleId="BrdtekstTegn">
    <w:name w:val="Brødtekst Tegn"/>
    <w:basedOn w:val="Standardskrifttypeiafsnit"/>
    <w:link w:val="Brdtekst"/>
    <w:uiPriority w:val="99"/>
    <w:semiHidden/>
    <w:rsid w:val="00BB5E75"/>
    <w:rPr>
      <w:rFonts w:ascii="Times New Roman" w:eastAsia="Times New Roman" w:hAnsi="Times New Roman" w:cs="Times New Roman"/>
      <w:sz w:val="24"/>
      <w:szCs w:val="20"/>
      <w:lang w:eastAsia="da-DK"/>
    </w:rPr>
  </w:style>
  <w:style w:type="character" w:customStyle="1" w:styleId="Overskrift2Tegn">
    <w:name w:val="Overskrift 2 Tegn"/>
    <w:basedOn w:val="Standardskrifttypeiafsnit"/>
    <w:link w:val="Overskrift2"/>
    <w:rsid w:val="00FF4662"/>
    <w:rPr>
      <w:rFonts w:ascii="Arial" w:eastAsia="Times New Roman" w:hAnsi="Arial" w:cs="Arial"/>
      <w:b/>
      <w:bCs/>
      <w:i/>
      <w:iCs/>
      <w:sz w:val="28"/>
      <w:szCs w:val="28"/>
      <w:lang w:eastAsia="da-DK"/>
    </w:rPr>
  </w:style>
  <w:style w:type="paragraph" w:customStyle="1" w:styleId="modt">
    <w:name w:val="modt"/>
    <w:basedOn w:val="Normal"/>
    <w:rsid w:val="00FF4662"/>
    <w:rPr>
      <w:sz w:val="22"/>
    </w:rPr>
  </w:style>
  <w:style w:type="paragraph" w:styleId="Fodnotetekst">
    <w:name w:val="footnote text"/>
    <w:basedOn w:val="Normal"/>
    <w:link w:val="FodnotetekstTegn"/>
    <w:semiHidden/>
    <w:rsid w:val="00FF4662"/>
    <w:rPr>
      <w:sz w:val="20"/>
    </w:rPr>
  </w:style>
  <w:style w:type="character" w:customStyle="1" w:styleId="FodnotetekstTegn">
    <w:name w:val="Fodnotetekst Tegn"/>
    <w:basedOn w:val="Standardskrifttypeiafsnit"/>
    <w:link w:val="Fodnotetekst"/>
    <w:semiHidden/>
    <w:rsid w:val="00FF4662"/>
    <w:rPr>
      <w:rFonts w:ascii="Times New Roman" w:eastAsia="Times New Roman" w:hAnsi="Times New Roman" w:cs="Times New Roman"/>
      <w:sz w:val="20"/>
      <w:szCs w:val="20"/>
      <w:lang w:eastAsia="da-DK"/>
    </w:rPr>
  </w:style>
  <w:style w:type="character" w:styleId="Fodnotehenvisning">
    <w:name w:val="footnote reference"/>
    <w:basedOn w:val="Standardskrifttypeiafsnit"/>
    <w:semiHidden/>
    <w:rsid w:val="00FF4662"/>
    <w:rPr>
      <w:vertAlign w:val="superscript"/>
    </w:rPr>
  </w:style>
  <w:style w:type="paragraph" w:styleId="Brdtekst3">
    <w:name w:val="Body Text 3"/>
    <w:basedOn w:val="Normal"/>
    <w:link w:val="Brdtekst3Tegn"/>
    <w:rsid w:val="00FF4662"/>
    <w:pPr>
      <w:spacing w:after="120"/>
    </w:pPr>
    <w:rPr>
      <w:sz w:val="16"/>
      <w:szCs w:val="16"/>
    </w:rPr>
  </w:style>
  <w:style w:type="character" w:customStyle="1" w:styleId="Brdtekst3Tegn">
    <w:name w:val="Brødtekst 3 Tegn"/>
    <w:basedOn w:val="Standardskrifttypeiafsnit"/>
    <w:link w:val="Brdtekst3"/>
    <w:rsid w:val="00FF4662"/>
    <w:rPr>
      <w:rFonts w:ascii="Times New Roman" w:eastAsia="Times New Roman" w:hAnsi="Times New Roman" w:cs="Times New Roman"/>
      <w:sz w:val="16"/>
      <w:szCs w:val="16"/>
      <w:lang w:eastAsia="da-DK"/>
    </w:rPr>
  </w:style>
  <w:style w:type="paragraph" w:customStyle="1" w:styleId="Nummereretafsnit">
    <w:name w:val="Nummereret afsnit"/>
    <w:basedOn w:val="Brdtekst"/>
    <w:autoRedefine/>
    <w:rsid w:val="00FF4662"/>
    <w:pPr>
      <w:numPr>
        <w:numId w:val="3"/>
      </w:numPr>
      <w:tabs>
        <w:tab w:val="left" w:pos="720"/>
      </w:tabs>
      <w:spacing w:after="240" w:line="240" w:lineRule="auto"/>
      <w:jc w:val="both"/>
    </w:pPr>
    <w:rPr>
      <w:i/>
      <w:sz w:val="22"/>
    </w:rPr>
  </w:style>
  <w:style w:type="character" w:customStyle="1" w:styleId="Overskrift3Tegn">
    <w:name w:val="Overskrift 3 Tegn"/>
    <w:basedOn w:val="Standardskrifttypeiafsnit"/>
    <w:link w:val="Overskrift3"/>
    <w:rsid w:val="00B91F8E"/>
    <w:rPr>
      <w:rFonts w:ascii="Arial" w:eastAsia="Times New Roman" w:hAnsi="Arial" w:cs="Arial"/>
      <w:b/>
      <w:bCs/>
      <w:sz w:val="26"/>
      <w:szCs w:val="26"/>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274"/>
    <w:pPr>
      <w:spacing w:after="0" w:line="280" w:lineRule="exact"/>
    </w:pPr>
    <w:rPr>
      <w:rFonts w:ascii="Times New Roman" w:eastAsia="Times New Roman" w:hAnsi="Times New Roman" w:cs="Times New Roman"/>
      <w:sz w:val="24"/>
      <w:szCs w:val="20"/>
      <w:lang w:eastAsia="da-DK"/>
    </w:rPr>
  </w:style>
  <w:style w:type="paragraph" w:styleId="Overskrift1">
    <w:name w:val="heading 1"/>
    <w:basedOn w:val="Normal"/>
    <w:next w:val="Brdtekst"/>
    <w:link w:val="Overskrift1Tegn"/>
    <w:qFormat/>
    <w:rsid w:val="00BB5E75"/>
    <w:pPr>
      <w:keepNext/>
      <w:outlineLvl w:val="0"/>
    </w:pPr>
    <w:rPr>
      <w:b/>
    </w:rPr>
  </w:style>
  <w:style w:type="paragraph" w:styleId="Overskrift2">
    <w:name w:val="heading 2"/>
    <w:basedOn w:val="Normal"/>
    <w:next w:val="Normal"/>
    <w:link w:val="Overskrift2Tegn"/>
    <w:qFormat/>
    <w:rsid w:val="00FF466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B91F8E"/>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291615"/>
  </w:style>
  <w:style w:type="paragraph" w:styleId="Sidefod">
    <w:name w:val="footer"/>
    <w:basedOn w:val="Normal"/>
    <w:link w:val="SidefodTegn"/>
    <w:uiPriority w:val="99"/>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291615"/>
  </w:style>
  <w:style w:type="paragraph" w:customStyle="1" w:styleId="skakt">
    <w:name w:val="skakt"/>
    <w:basedOn w:val="Normal"/>
    <w:rsid w:val="00FA6274"/>
    <w:pPr>
      <w:framePr w:w="2268" w:h="8505" w:hSpace="142" w:wrap="around" w:vAnchor="text" w:hAnchor="page" w:x="8931" w:y="1" w:anchorLock="1"/>
    </w:pPr>
    <w:rPr>
      <w:rFonts w:ascii="Arial" w:hAnsi="Arial"/>
      <w:sz w:val="16"/>
    </w:rPr>
  </w:style>
  <w:style w:type="paragraph" w:customStyle="1" w:styleId="datomv">
    <w:name w:val="datomv"/>
    <w:basedOn w:val="skakt"/>
    <w:rsid w:val="00FA6274"/>
    <w:pPr>
      <w:framePr w:w="0" w:hRule="auto" w:wrap="around" w:x="9073"/>
    </w:pPr>
    <w:rPr>
      <w:rFonts w:ascii="Times New Roman" w:hAnsi="Times New Roman"/>
      <w:sz w:val="24"/>
    </w:rPr>
  </w:style>
  <w:style w:type="character" w:styleId="Pladsholdertekst">
    <w:name w:val="Placeholder Text"/>
    <w:basedOn w:val="Standardskrifttypeiafsnit"/>
    <w:uiPriority w:val="99"/>
    <w:semiHidden/>
    <w:rsid w:val="00FA6274"/>
    <w:rPr>
      <w:color w:val="808080"/>
    </w:rPr>
  </w:style>
  <w:style w:type="paragraph" w:styleId="Markeringsbobletekst">
    <w:name w:val="Balloon Text"/>
    <w:basedOn w:val="Normal"/>
    <w:link w:val="MarkeringsbobletekstTegn"/>
    <w:uiPriority w:val="99"/>
    <w:semiHidden/>
    <w:unhideWhenUsed/>
    <w:rsid w:val="00FA627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A6274"/>
    <w:rPr>
      <w:rFonts w:ascii="Tahoma" w:eastAsia="Times New Roman" w:hAnsi="Tahoma" w:cs="Tahoma"/>
      <w:sz w:val="16"/>
      <w:szCs w:val="16"/>
      <w:lang w:eastAsia="da-DK"/>
    </w:rPr>
  </w:style>
  <w:style w:type="character" w:customStyle="1" w:styleId="Overskrift1Tegn">
    <w:name w:val="Overskrift 1 Tegn"/>
    <w:basedOn w:val="Standardskrifttypeiafsnit"/>
    <w:link w:val="Overskrift1"/>
    <w:rsid w:val="00BB5E75"/>
    <w:rPr>
      <w:rFonts w:ascii="Times New Roman" w:eastAsia="Times New Roman" w:hAnsi="Times New Roman" w:cs="Times New Roman"/>
      <w:b/>
      <w:sz w:val="24"/>
      <w:szCs w:val="20"/>
      <w:lang w:eastAsia="da-DK"/>
    </w:rPr>
  </w:style>
  <w:style w:type="paragraph" w:styleId="Brdtekst">
    <w:name w:val="Body Text"/>
    <w:basedOn w:val="Normal"/>
    <w:link w:val="BrdtekstTegn"/>
    <w:uiPriority w:val="99"/>
    <w:semiHidden/>
    <w:unhideWhenUsed/>
    <w:rsid w:val="00BB5E75"/>
    <w:pPr>
      <w:spacing w:after="120"/>
    </w:pPr>
  </w:style>
  <w:style w:type="character" w:customStyle="1" w:styleId="BrdtekstTegn">
    <w:name w:val="Brødtekst Tegn"/>
    <w:basedOn w:val="Standardskrifttypeiafsnit"/>
    <w:link w:val="Brdtekst"/>
    <w:uiPriority w:val="99"/>
    <w:semiHidden/>
    <w:rsid w:val="00BB5E75"/>
    <w:rPr>
      <w:rFonts w:ascii="Times New Roman" w:eastAsia="Times New Roman" w:hAnsi="Times New Roman" w:cs="Times New Roman"/>
      <w:sz w:val="24"/>
      <w:szCs w:val="20"/>
      <w:lang w:eastAsia="da-DK"/>
    </w:rPr>
  </w:style>
  <w:style w:type="character" w:customStyle="1" w:styleId="Overskrift2Tegn">
    <w:name w:val="Overskrift 2 Tegn"/>
    <w:basedOn w:val="Standardskrifttypeiafsnit"/>
    <w:link w:val="Overskrift2"/>
    <w:rsid w:val="00FF4662"/>
    <w:rPr>
      <w:rFonts w:ascii="Arial" w:eastAsia="Times New Roman" w:hAnsi="Arial" w:cs="Arial"/>
      <w:b/>
      <w:bCs/>
      <w:i/>
      <w:iCs/>
      <w:sz w:val="28"/>
      <w:szCs w:val="28"/>
      <w:lang w:eastAsia="da-DK"/>
    </w:rPr>
  </w:style>
  <w:style w:type="paragraph" w:customStyle="1" w:styleId="modt">
    <w:name w:val="modt"/>
    <w:basedOn w:val="Normal"/>
    <w:rsid w:val="00FF4662"/>
    <w:rPr>
      <w:sz w:val="22"/>
    </w:rPr>
  </w:style>
  <w:style w:type="paragraph" w:styleId="Fodnotetekst">
    <w:name w:val="footnote text"/>
    <w:basedOn w:val="Normal"/>
    <w:link w:val="FodnotetekstTegn"/>
    <w:semiHidden/>
    <w:rsid w:val="00FF4662"/>
    <w:rPr>
      <w:sz w:val="20"/>
    </w:rPr>
  </w:style>
  <w:style w:type="character" w:customStyle="1" w:styleId="FodnotetekstTegn">
    <w:name w:val="Fodnotetekst Tegn"/>
    <w:basedOn w:val="Standardskrifttypeiafsnit"/>
    <w:link w:val="Fodnotetekst"/>
    <w:semiHidden/>
    <w:rsid w:val="00FF4662"/>
    <w:rPr>
      <w:rFonts w:ascii="Times New Roman" w:eastAsia="Times New Roman" w:hAnsi="Times New Roman" w:cs="Times New Roman"/>
      <w:sz w:val="20"/>
      <w:szCs w:val="20"/>
      <w:lang w:eastAsia="da-DK"/>
    </w:rPr>
  </w:style>
  <w:style w:type="character" w:styleId="Fodnotehenvisning">
    <w:name w:val="footnote reference"/>
    <w:basedOn w:val="Standardskrifttypeiafsnit"/>
    <w:semiHidden/>
    <w:rsid w:val="00FF4662"/>
    <w:rPr>
      <w:vertAlign w:val="superscript"/>
    </w:rPr>
  </w:style>
  <w:style w:type="paragraph" w:styleId="Brdtekst3">
    <w:name w:val="Body Text 3"/>
    <w:basedOn w:val="Normal"/>
    <w:link w:val="Brdtekst3Tegn"/>
    <w:rsid w:val="00FF4662"/>
    <w:pPr>
      <w:spacing w:after="120"/>
    </w:pPr>
    <w:rPr>
      <w:sz w:val="16"/>
      <w:szCs w:val="16"/>
    </w:rPr>
  </w:style>
  <w:style w:type="character" w:customStyle="1" w:styleId="Brdtekst3Tegn">
    <w:name w:val="Brødtekst 3 Tegn"/>
    <w:basedOn w:val="Standardskrifttypeiafsnit"/>
    <w:link w:val="Brdtekst3"/>
    <w:rsid w:val="00FF4662"/>
    <w:rPr>
      <w:rFonts w:ascii="Times New Roman" w:eastAsia="Times New Roman" w:hAnsi="Times New Roman" w:cs="Times New Roman"/>
      <w:sz w:val="16"/>
      <w:szCs w:val="16"/>
      <w:lang w:eastAsia="da-DK"/>
    </w:rPr>
  </w:style>
  <w:style w:type="paragraph" w:customStyle="1" w:styleId="Nummereretafsnit">
    <w:name w:val="Nummereret afsnit"/>
    <w:basedOn w:val="Brdtekst"/>
    <w:autoRedefine/>
    <w:rsid w:val="00FF4662"/>
    <w:pPr>
      <w:numPr>
        <w:numId w:val="3"/>
      </w:numPr>
      <w:tabs>
        <w:tab w:val="left" w:pos="720"/>
      </w:tabs>
      <w:spacing w:after="240" w:line="240" w:lineRule="auto"/>
      <w:jc w:val="both"/>
    </w:pPr>
    <w:rPr>
      <w:i/>
      <w:sz w:val="22"/>
    </w:rPr>
  </w:style>
  <w:style w:type="character" w:customStyle="1" w:styleId="Overskrift3Tegn">
    <w:name w:val="Overskrift 3 Tegn"/>
    <w:basedOn w:val="Standardskrifttypeiafsnit"/>
    <w:link w:val="Overskrift3"/>
    <w:rsid w:val="00B91F8E"/>
    <w:rPr>
      <w:rFonts w:ascii="Arial" w:eastAsia="Times New Roman" w:hAnsi="Arial" w:cs="Arial"/>
      <w:b/>
      <w:bCs/>
      <w:sz w:val="26"/>
      <w:szCs w:val="2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esdh-evm-kfst/360templates/_KAN-Konkurrencer&#229;dets%20svarskrif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1818845" gbs:entity="Document" gbs:templateDesignerVersion="3.1 F">
  <gbs:DocumentDate gbs:loadFromGrowBusiness="OnProduce" gbs:saveInGrowBusiness="False" gbs:connected="true" gbs:recno="" gbs:entity="" gbs:datatype="date" gbs:key="10000">2017-12-19T00:00:00</gbs:DocumentDate>
  <gbs:DocumentDate gbs:loadFromGrowBusiness="OnProduce" gbs:saveInGrowBusiness="False" gbs:connected="true" gbs:recno="" gbs:entity="" gbs:datatype="date" gbs:key="10001">2017-12-19T00:00:00</gbs:DocumentDate>
  <gbs:ExternalSiteId gbs:loadFromGrowBusiness="OnProduce" gbs:saveInGrowBusiness="False" gbs:connected="true" gbs:recno="" gbs:entity="" gbs:datatype="string" gbs:key="10002">
  </gbs:ExternalSiteId>
  <gbs:DocumentNumber gbs:loadFromGrowBusiness="OnProduce" gbs:saveInGrowBusiness="False" gbs:connected="true" gbs:recno="" gbs:entity="" gbs:datatype="string" gbs:key="10003">16/03777-8</gbs:DocumentNumber>
  <gbs:ToOrgUnit.Name gbs:loadFromGrowBusiness="OnProduce" gbs:saveInGrowBusiness="False" gbs:connected="true" gbs:recno="" gbs:entity="" gbs:datatype="string" gbs:key="10004" gbs:removeContentControl="0">KJUR</gbs:ToOrgUnit.Name>
  <gbs:OurRef.Initials gbs:loadFromGrowBusiness="OnProduce" gbs:saveInGrowBusiness="False" gbs:connected="true" gbs:recno="" gbs:entity="" gbs:datatype="string" gbs:key="10005" gbs:removeContentControl="0">VU</gbs:OurRef.Initials>
  <gbs:OurRef.Initials gbs:loadFromGrowBusiness="OnProduce" gbs:saveInGrowBusiness="False" gbs:connected="true" gbs:recno="" gbs:entity="" gbs:datatype="string" gbs:key="10006" gbs:removeContentControl="0">VU</gbs:OurRef.Initials>
  <gbs:OurRef.Initials gbs:loadFromGrowBusiness="OnProduce" gbs:saveInGrowBusiness="False" gbs:connected="true" gbs:recno="" gbs:entity="" gbs:datatype="string" gbs:key="10007">VU</gbs:OurRef.Initials>
  <gbs:OurRef.Name gbs:loadFromGrowBusiness="OnProduce" gbs:saveInGrowBusiness="False" gbs:connected="true" gbs:recno="" gbs:entity="" gbs:datatype="string" gbs:key="10008">Vibeke Ulf Dumrath</gbs:OurRef.Name>
  <gbs:DocumentDate gbs:loadFromGrowBusiness="OnProduce" gbs:saveInGrowBusiness="False" gbs:connected="true" gbs:recno="" gbs:entity="" gbs:datatype="date" gbs:key="10009">2017-12-19T00:00:00</gbs:DocumentDat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8F031-D4A1-4968-851D-41DA4213597B}">
  <ds:schemaRefs/>
</ds:datastoreItem>
</file>

<file path=customXml/itemProps2.xml><?xml version="1.0" encoding="utf-8"?>
<ds:datastoreItem xmlns:ds="http://schemas.openxmlformats.org/officeDocument/2006/customXml" ds:itemID="{6D2157C6-1750-4E19-93CE-3BA2BFE0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_KAN-Konkurrencerådets%20svarskrift.dotx</Template>
  <TotalTime>0</TotalTime>
  <Pages>6</Pages>
  <Words>1187</Words>
  <Characters>7243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Colberg</dc:creator>
  <cp:lastModifiedBy>Hanne Colberg</cp:lastModifiedBy>
  <cp:revision>2</cp:revision>
  <dcterms:created xsi:type="dcterms:W3CDTF">2017-12-19T10:29:00Z</dcterms:created>
  <dcterms:modified xsi:type="dcterms:W3CDTF">2017-12-19T10:29:00Z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1818845</vt:lpwstr>
  </property>
  <property fmtid="{D5CDD505-2E9C-101B-9397-08002B2CF9AE}" pid="3" name="verId">
    <vt:lpwstr>1774964</vt:lpwstr>
  </property>
  <property fmtid="{D5CDD505-2E9C-101B-9397-08002B2CF9AE}" pid="4" name="templateId">
    <vt:lpwstr>200057</vt:lpwstr>
  </property>
  <property fmtid="{D5CDD505-2E9C-101B-9397-08002B2CF9AE}" pid="5" name="fileId">
    <vt:lpwstr>3059546</vt:lpwstr>
  </property>
  <property fmtid="{D5CDD505-2E9C-101B-9397-08002B2CF9AE}" pid="6" name="filePath">
    <vt:lpwstr>\\localhost@80\PersonalLibraries\prod\b002743\checked out files</vt:lpwstr>
  </property>
  <property fmtid="{D5CDD505-2E9C-101B-9397-08002B2CF9AE}" pid="7" name="templateFilePath">
    <vt:lpwstr>\\PB-2204-FILP01\docprod\templates\_KAN-Konkurrencerådets svarskrift.dotx</vt:lpwstr>
  </property>
  <property fmtid="{D5CDD505-2E9C-101B-9397-08002B2CF9AE}" pid="8" name="filePathOneNote">
    <vt:lpwstr>\\pb-2204-filp01\Docprod\Temp_User\onenote\prod\b002743\</vt:lpwstr>
  </property>
  <property fmtid="{D5CDD505-2E9C-101B-9397-08002B2CF9AE}" pid="9" name="fileName">
    <vt:lpwstr>16-03777-8 bla 3059546_1_0.docx</vt:lpwstr>
  </property>
  <property fmtid="{D5CDD505-2E9C-101B-9397-08002B2CF9AE}" pid="10" name="comment">
    <vt:lpwstr>bla</vt:lpwstr>
  </property>
  <property fmtid="{D5CDD505-2E9C-101B-9397-08002B2CF9AE}" pid="11" name="sourceId">
    <vt:lpwstr>1818845</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Hanne Colberg</vt:lpwstr>
  </property>
  <property fmtid="{D5CDD505-2E9C-101B-9397-08002B2CF9AE}" pid="15" name="modifiedBy">
    <vt:lpwstr>Hanne Colberg</vt:lpwstr>
  </property>
  <property fmtid="{D5CDD505-2E9C-101B-9397-08002B2CF9AE}" pid="16" name="serverName">
    <vt:lpwstr>esdh-evm-kfst</vt:lpwstr>
  </property>
  <property fmtid="{D5CDD505-2E9C-101B-9397-08002B2CF9AE}" pid="17" name="server">
    <vt:lpwstr>esdh-evm-kfst</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1774964</vt:lpwstr>
  </property>
  <property fmtid="{D5CDD505-2E9C-101B-9397-08002B2CF9AE}" pid="22" name="Operation">
    <vt:lpwstr>ProduceFile</vt:lpwstr>
  </property>
</Properties>
</file>