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4B2832" w14:textId="77777777" w:rsidR="00FA6274" w:rsidRDefault="00FA6274" w:rsidP="00FA6274">
      <w:pPr>
        <w:spacing w:line="280" w:lineRule="atLeast"/>
      </w:pPr>
      <w:bookmarkStart w:id="0" w:name="_GoBack"/>
      <w:bookmarkEnd w:id="0"/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8"/>
      </w:tblGrid>
      <w:tr w:rsidR="00FA6274" w14:paraId="6E4B2834" w14:textId="77777777" w:rsidTr="00AE3AA6">
        <w:trPr>
          <w:trHeight w:hRule="exact" w:val="2410"/>
        </w:trPr>
        <w:tc>
          <w:tcPr>
            <w:tcW w:w="2408" w:type="dxa"/>
          </w:tcPr>
          <w:p w14:paraId="6E4B2833" w14:textId="77777777" w:rsidR="00FA6274" w:rsidRDefault="00FA6274" w:rsidP="00B91F8E">
            <w:pPr>
              <w:pStyle w:val="skakt"/>
              <w:keepNext/>
              <w:keepLines/>
              <w:framePr w:w="0" w:h="8505" w:hRule="exact" w:wrap="around" w:vAnchor="page" w:y="2467"/>
            </w:pPr>
          </w:p>
        </w:tc>
      </w:tr>
      <w:tr w:rsidR="00FA6274" w14:paraId="6E4B283E" w14:textId="77777777" w:rsidTr="001E553E">
        <w:trPr>
          <w:trHeight w:val="10950"/>
        </w:trPr>
        <w:tc>
          <w:tcPr>
            <w:tcW w:w="2408" w:type="dxa"/>
          </w:tcPr>
          <w:p w14:paraId="6E4B2835" w14:textId="77777777" w:rsidR="00B91F8E" w:rsidRDefault="00B91F8E" w:rsidP="005571D1">
            <w:pPr>
              <w:pStyle w:val="skakt"/>
              <w:framePr w:w="0" w:h="8505" w:hRule="exact" w:wrap="around" w:vAnchor="page" w:y="2467"/>
              <w:rPr>
                <w:rFonts w:ascii="Arial Black" w:hAnsi="Arial Black"/>
                <w:sz w:val="13"/>
              </w:rPr>
            </w:pPr>
          </w:p>
          <w:p w14:paraId="6E4B2836" w14:textId="77777777" w:rsidR="00B91F8E" w:rsidRDefault="00B91F8E" w:rsidP="005571D1">
            <w:pPr>
              <w:pStyle w:val="skakt"/>
              <w:framePr w:w="0" w:h="8505" w:hRule="exact" w:wrap="around" w:vAnchor="page" w:y="2467"/>
              <w:rPr>
                <w:rFonts w:ascii="Arial Black" w:hAnsi="Arial Black"/>
                <w:sz w:val="13"/>
              </w:rPr>
            </w:pPr>
          </w:p>
          <w:p w14:paraId="6E4B2837" w14:textId="77777777" w:rsidR="008D0C2F" w:rsidRDefault="008D0C2F" w:rsidP="005571D1">
            <w:pPr>
              <w:pStyle w:val="skakt"/>
              <w:framePr w:w="0" w:h="8505" w:hRule="exact" w:wrap="around" w:vAnchor="page" w:y="2467"/>
              <w:rPr>
                <w:rFonts w:ascii="Arial Black" w:hAnsi="Arial Black"/>
                <w:sz w:val="13"/>
              </w:rPr>
            </w:pPr>
          </w:p>
          <w:p w14:paraId="6E4B2838" w14:textId="77777777" w:rsidR="00976855" w:rsidRDefault="00404121" w:rsidP="005571D1">
            <w:pPr>
              <w:pStyle w:val="skakt"/>
              <w:framePr w:w="0" w:h="8505" w:hRule="exact" w:wrap="around" w:vAnchor="page" w:y="2467"/>
              <w:rPr>
                <w:rFonts w:ascii="Arial Black" w:hAnsi="Arial Black"/>
                <w:sz w:val="13"/>
              </w:rPr>
            </w:pPr>
            <w:r>
              <w:rPr>
                <w:rFonts w:ascii="Arial Black" w:hAnsi="Arial Black"/>
                <w:sz w:val="13"/>
              </w:rPr>
              <w:t xml:space="preserve">KONKURRENCE- OG </w:t>
            </w:r>
          </w:p>
          <w:p w14:paraId="6E4B2839" w14:textId="77777777" w:rsidR="00404121" w:rsidRDefault="00404121" w:rsidP="005571D1">
            <w:pPr>
              <w:pStyle w:val="skakt"/>
              <w:framePr w:w="0" w:h="8505" w:hRule="exact" w:wrap="around" w:vAnchor="page" w:y="2467"/>
              <w:rPr>
                <w:rFonts w:ascii="Arial Black" w:hAnsi="Arial Black"/>
                <w:sz w:val="13"/>
              </w:rPr>
            </w:pPr>
            <w:r>
              <w:rPr>
                <w:rFonts w:ascii="Arial Black" w:hAnsi="Arial Black"/>
                <w:sz w:val="13"/>
              </w:rPr>
              <w:t>FORBRUGERSTYRELSEN</w:t>
            </w:r>
          </w:p>
          <w:p w14:paraId="6E4B283A" w14:textId="77777777" w:rsidR="00404121" w:rsidRDefault="00404121" w:rsidP="005571D1">
            <w:pPr>
              <w:pStyle w:val="datomv"/>
              <w:framePr w:h="8505" w:hRule="exact" w:wrap="around" w:vAnchor="page" w:x="8931" w:y="2467"/>
              <w:spacing w:line="220" w:lineRule="exact"/>
            </w:pPr>
          </w:p>
          <w:p w14:paraId="6E4B283B" w14:textId="77777777" w:rsidR="00404121" w:rsidRDefault="00404121" w:rsidP="005571D1">
            <w:pPr>
              <w:pStyle w:val="datomv"/>
              <w:framePr w:h="8505" w:hRule="exact" w:wrap="around" w:vAnchor="page" w:x="8931" w:y="2467"/>
              <w:spacing w:line="220" w:lineRule="exact"/>
            </w:pPr>
          </w:p>
          <w:p w14:paraId="6E4B283C" w14:textId="77777777" w:rsidR="00404121" w:rsidRDefault="00404121" w:rsidP="005571D1">
            <w:pPr>
              <w:pStyle w:val="datomv"/>
              <w:framePr w:h="8505" w:hRule="exact" w:wrap="around" w:vAnchor="page" w:x="8931" w:y="2467"/>
            </w:pPr>
          </w:p>
          <w:p w14:paraId="6E4B283D" w14:textId="77777777" w:rsidR="00FA6274" w:rsidRDefault="00404121" w:rsidP="00ED5F01">
            <w:pPr>
              <w:pStyle w:val="datomv"/>
              <w:keepNext/>
              <w:keepLines/>
              <w:framePr w:h="8505" w:hRule="exact" w:wrap="around" w:vAnchor="page" w:x="8931" w:y="2467"/>
            </w:pPr>
            <w:r>
              <w:rPr>
                <w:rFonts w:ascii="Arial Black" w:hAnsi="Arial Black"/>
                <w:sz w:val="12"/>
              </w:rPr>
              <w:t>ERHVERVSMINISTERIET</w:t>
            </w:r>
          </w:p>
        </w:tc>
      </w:tr>
    </w:tbl>
    <w:tbl>
      <w:tblPr>
        <w:tblW w:w="72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58"/>
      </w:tblGrid>
      <w:tr w:rsidR="008D0C2F" w14:paraId="6E4B2843" w14:textId="77777777" w:rsidTr="008D0C2F">
        <w:trPr>
          <w:cantSplit/>
          <w:trHeight w:hRule="exact" w:val="2268"/>
        </w:trPr>
        <w:tc>
          <w:tcPr>
            <w:tcW w:w="7258" w:type="dxa"/>
          </w:tcPr>
          <w:p w14:paraId="6E4B283F" w14:textId="77777777" w:rsidR="008D0C2F" w:rsidRDefault="008D0C2F" w:rsidP="004C5C28"/>
          <w:p w14:paraId="6E4B2840" w14:textId="77777777" w:rsidR="008D0C2F" w:rsidRDefault="008D0C2F" w:rsidP="004C5C28"/>
          <w:p w14:paraId="6E4B2841" w14:textId="77777777" w:rsidR="008D0C2F" w:rsidRDefault="008D0C2F" w:rsidP="00310051">
            <w:pPr>
              <w:pStyle w:val="Overskrift2"/>
              <w:tabs>
                <w:tab w:val="left" w:pos="3686"/>
              </w:tabs>
              <w:spacing w:before="60" w:line="240" w:lineRule="auto"/>
              <w:ind w:left="2268"/>
              <w:jc w:val="center"/>
              <w:rPr>
                <w:i w:val="0"/>
                <w:sz w:val="32"/>
                <w:szCs w:val="32"/>
              </w:rPr>
            </w:pPr>
            <w:r w:rsidRPr="00AB02A7">
              <w:rPr>
                <w:i w:val="0"/>
                <w:sz w:val="32"/>
                <w:szCs w:val="32"/>
              </w:rPr>
              <w:t>Konkurrencerådets</w:t>
            </w:r>
          </w:p>
          <w:p w14:paraId="6E4B2842" w14:textId="77777777" w:rsidR="008D0C2F" w:rsidRPr="00A03B19" w:rsidRDefault="00310051" w:rsidP="00310051">
            <w:pPr>
              <w:pStyle w:val="Overskrift2"/>
              <w:jc w:val="center"/>
              <w:rPr>
                <w:i w:val="0"/>
              </w:rPr>
            </w:pPr>
            <w:r>
              <w:rPr>
                <w:i w:val="0"/>
                <w:sz w:val="32"/>
                <w:szCs w:val="32"/>
              </w:rPr>
              <w:t xml:space="preserve">                        </w:t>
            </w:r>
            <w:r w:rsidR="008D0C2F" w:rsidRPr="00AB02A7">
              <w:rPr>
                <w:i w:val="0"/>
                <w:sz w:val="32"/>
                <w:szCs w:val="32"/>
              </w:rPr>
              <w:t>sammenfattende processkrift</w:t>
            </w:r>
          </w:p>
        </w:tc>
      </w:tr>
      <w:tr w:rsidR="008D0C2F" w14:paraId="6E4B2848" w14:textId="77777777" w:rsidTr="008D0C2F">
        <w:trPr>
          <w:cantSplit/>
          <w:trHeight w:hRule="exact" w:val="558"/>
        </w:trPr>
        <w:tc>
          <w:tcPr>
            <w:tcW w:w="7258" w:type="dxa"/>
          </w:tcPr>
          <w:p w14:paraId="6E4B2844" w14:textId="77777777" w:rsidR="008D0C2F" w:rsidRDefault="008D0C2F" w:rsidP="004C5C28">
            <w:bookmarkStart w:id="1" w:name="PCAoverskrift"/>
            <w:bookmarkEnd w:id="1"/>
          </w:p>
          <w:p w14:paraId="6E4B2845" w14:textId="77777777" w:rsidR="008D0C2F" w:rsidRPr="00AB02A7" w:rsidRDefault="008D0C2F" w:rsidP="004C5C28">
            <w:pPr>
              <w:pStyle w:val="Overskrift2"/>
              <w:tabs>
                <w:tab w:val="left" w:pos="3686"/>
              </w:tabs>
              <w:spacing w:before="60" w:line="240" w:lineRule="auto"/>
              <w:ind w:left="2268"/>
              <w:jc w:val="center"/>
              <w:rPr>
                <w:i w:val="0"/>
                <w:sz w:val="32"/>
                <w:szCs w:val="32"/>
              </w:rPr>
            </w:pPr>
          </w:p>
          <w:p w14:paraId="6E4B2846" w14:textId="77777777" w:rsidR="008D0C2F" w:rsidRDefault="008D0C2F" w:rsidP="004C5C28">
            <w:pPr>
              <w:pStyle w:val="Overskrift2"/>
              <w:spacing w:after="0"/>
              <w:jc w:val="center"/>
              <w:rPr>
                <w:i w:val="0"/>
              </w:rPr>
            </w:pPr>
          </w:p>
          <w:p w14:paraId="6E4B2847" w14:textId="77777777" w:rsidR="008D0C2F" w:rsidRPr="00B75843" w:rsidRDefault="008D0C2F" w:rsidP="004C5C28">
            <w:pPr>
              <w:pStyle w:val="Overskrift2"/>
              <w:ind w:left="2694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</w:tr>
    </w:tbl>
    <w:p w14:paraId="6E4B2849" w14:textId="77777777" w:rsidR="008D0C2F" w:rsidRDefault="008D0C2F" w:rsidP="008D0C2F">
      <w:pPr>
        <w:ind w:right="-143"/>
      </w:pPr>
      <w:r>
        <w:t xml:space="preserve">i Konkurrenceankenævnets sag </w:t>
      </w:r>
    </w:p>
    <w:p w14:paraId="6E4B284A" w14:textId="77777777" w:rsidR="008D0C2F" w:rsidRDefault="008D0C2F" w:rsidP="008D0C2F">
      <w:r>
        <w:t xml:space="preserve">j.nr. </w:t>
      </w:r>
      <w:r w:rsidRPr="00B14173">
        <w:rPr>
          <w:color w:val="808080"/>
        </w:rPr>
        <w:t>[åååå-xxxxx]</w:t>
      </w:r>
      <w:r>
        <w:t>:</w:t>
      </w:r>
      <w:r>
        <w:tab/>
      </w:r>
      <w:r>
        <w:tab/>
      </w:r>
    </w:p>
    <w:p w14:paraId="6E4B284B" w14:textId="77777777" w:rsidR="008D0C2F" w:rsidRDefault="008D0C2F" w:rsidP="008D0C2F"/>
    <w:p w14:paraId="6E4B284C" w14:textId="77777777" w:rsidR="008D0C2F" w:rsidRDefault="008D0C2F" w:rsidP="008D0C2F"/>
    <w:p w14:paraId="6E4B284D" w14:textId="77777777" w:rsidR="008D0C2F" w:rsidRDefault="008D0C2F" w:rsidP="008D0C2F"/>
    <w:p w14:paraId="6E4B284E" w14:textId="77777777" w:rsidR="008D0C2F" w:rsidRPr="00B14173" w:rsidRDefault="008D0C2F" w:rsidP="008D0C2F">
      <w:pPr>
        <w:jc w:val="right"/>
      </w:pPr>
      <w:r>
        <w:rPr>
          <w:color w:val="808080"/>
        </w:rPr>
        <w:t>[Virksomhedens navn</w:t>
      </w:r>
      <w:r>
        <w:t>]</w:t>
      </w:r>
    </w:p>
    <w:p w14:paraId="6E4B284F" w14:textId="77777777" w:rsidR="008D0C2F" w:rsidRPr="00B14173" w:rsidRDefault="008D0C2F" w:rsidP="008D0C2F">
      <w:pPr>
        <w:jc w:val="right"/>
        <w:rPr>
          <w:color w:val="808080"/>
          <w:szCs w:val="24"/>
        </w:rPr>
      </w:pPr>
      <w:r w:rsidRPr="003F6162">
        <w:rPr>
          <w:szCs w:val="24"/>
        </w:rPr>
        <w:t xml:space="preserve">v/advokat </w:t>
      </w:r>
      <w:r>
        <w:rPr>
          <w:color w:val="808080"/>
          <w:szCs w:val="24"/>
        </w:rPr>
        <w:t>[navn]</w:t>
      </w:r>
    </w:p>
    <w:p w14:paraId="6E4B2850" w14:textId="77777777" w:rsidR="008D0C2F" w:rsidRPr="00EE4D8B" w:rsidRDefault="008D0C2F" w:rsidP="008D0C2F"/>
    <w:p w14:paraId="6E4B2851" w14:textId="77777777" w:rsidR="008D0C2F" w:rsidRDefault="008D0C2F" w:rsidP="008D0C2F">
      <w:pPr>
        <w:jc w:val="right"/>
      </w:pPr>
      <w:r>
        <w:t>mod</w:t>
      </w:r>
    </w:p>
    <w:p w14:paraId="6E4B2852" w14:textId="77777777" w:rsidR="008D0C2F" w:rsidRDefault="008D0C2F" w:rsidP="008D0C2F">
      <w:pPr>
        <w:jc w:val="right"/>
      </w:pPr>
    </w:p>
    <w:p w14:paraId="6E4B2853" w14:textId="77777777" w:rsidR="008D0C2F" w:rsidRDefault="008D0C2F" w:rsidP="008D0C2F">
      <w:pPr>
        <w:jc w:val="right"/>
      </w:pPr>
      <w:r>
        <w:t>Konkurrencerådet</w:t>
      </w:r>
    </w:p>
    <w:p w14:paraId="6E4B2854" w14:textId="77777777" w:rsidR="008D0C2F" w:rsidRDefault="008D0C2F" w:rsidP="008D0C2F">
      <w:pPr>
        <w:jc w:val="right"/>
        <w:rPr>
          <w:color w:val="808080"/>
        </w:rPr>
      </w:pPr>
      <w:r>
        <w:t>v/</w:t>
      </w:r>
      <w:r>
        <w:rPr>
          <w:color w:val="808080"/>
        </w:rPr>
        <w:t>[titel og navn]</w:t>
      </w:r>
    </w:p>
    <w:p w14:paraId="6E4B2855" w14:textId="77777777" w:rsidR="008D0C2F" w:rsidRDefault="008D0C2F" w:rsidP="008D0C2F">
      <w:pPr>
        <w:jc w:val="right"/>
        <w:rPr>
          <w:color w:val="808080"/>
        </w:rPr>
      </w:pPr>
    </w:p>
    <w:p w14:paraId="6E4B2856" w14:textId="77777777" w:rsidR="008D0C2F" w:rsidRDefault="008D0C2F" w:rsidP="008D0C2F">
      <w:pPr>
        <w:jc w:val="right"/>
        <w:rPr>
          <w:color w:val="808080"/>
        </w:rPr>
      </w:pPr>
    </w:p>
    <w:p w14:paraId="6E4B2857" w14:textId="77777777" w:rsidR="008D0C2F" w:rsidRPr="002A7363" w:rsidRDefault="008D0C2F" w:rsidP="008D0C2F">
      <w:pPr>
        <w:pStyle w:val="Overskrift3"/>
      </w:pPr>
      <w:r>
        <w:t>PÅSTAND</w:t>
      </w:r>
    </w:p>
    <w:p w14:paraId="6E4B2858" w14:textId="77777777" w:rsidR="008D0C2F" w:rsidRDefault="008D0C2F" w:rsidP="008D0C2F"/>
    <w:p w14:paraId="6E4B2859" w14:textId="77777777" w:rsidR="008D0C2F" w:rsidRPr="004E6816" w:rsidRDefault="008D0C2F" w:rsidP="008D0C2F">
      <w:pPr>
        <w:jc w:val="both"/>
        <w:rPr>
          <w:color w:val="808080"/>
          <w:szCs w:val="22"/>
        </w:rPr>
      </w:pPr>
      <w:r w:rsidRPr="008A1AED">
        <w:rPr>
          <w:szCs w:val="22"/>
        </w:rPr>
        <w:t xml:space="preserve">Konkurrencerådets afgørelse af </w:t>
      </w:r>
      <w:r w:rsidRPr="008A1AED">
        <w:rPr>
          <w:color w:val="808080"/>
          <w:szCs w:val="22"/>
        </w:rPr>
        <w:t>[dato]</w:t>
      </w:r>
      <w:r w:rsidRPr="008A1AED">
        <w:rPr>
          <w:szCs w:val="22"/>
        </w:rPr>
        <w:t xml:space="preserve"> i sag </w:t>
      </w:r>
      <w:r w:rsidRPr="008A1AED">
        <w:rPr>
          <w:color w:val="808080"/>
          <w:szCs w:val="22"/>
        </w:rPr>
        <w:t>[j.nr. og titel]</w:t>
      </w:r>
      <w:r w:rsidRPr="008A1AED">
        <w:rPr>
          <w:szCs w:val="22"/>
        </w:rPr>
        <w:t xml:space="preserve"> stadfæstes. </w:t>
      </w:r>
      <w:r w:rsidRPr="004E6816">
        <w:rPr>
          <w:color w:val="808080"/>
          <w:szCs w:val="22"/>
        </w:rPr>
        <w:t>[</w:t>
      </w:r>
      <w:r>
        <w:rPr>
          <w:color w:val="808080"/>
          <w:szCs w:val="22"/>
        </w:rPr>
        <w:t>Hvis der både er en principal og en subsidiær påstand anføres dette]</w:t>
      </w:r>
    </w:p>
    <w:p w14:paraId="6E4B285A" w14:textId="77777777" w:rsidR="008D0C2F" w:rsidRDefault="008D0C2F" w:rsidP="008D0C2F">
      <w:pPr>
        <w:jc w:val="both"/>
        <w:rPr>
          <w:szCs w:val="24"/>
        </w:rPr>
      </w:pPr>
    </w:p>
    <w:p w14:paraId="6E4B285B" w14:textId="77777777" w:rsidR="008D0C2F" w:rsidRDefault="008D0C2F" w:rsidP="008D0C2F">
      <w:pPr>
        <w:jc w:val="both"/>
        <w:rPr>
          <w:color w:val="808080"/>
        </w:rPr>
      </w:pPr>
      <w:r w:rsidRPr="004E6816">
        <w:rPr>
          <w:color w:val="808080"/>
        </w:rPr>
        <w:t xml:space="preserve">Et sammenfattende, processkrift </w:t>
      </w:r>
      <w:r w:rsidRPr="006431EA">
        <w:rPr>
          <w:color w:val="808080"/>
        </w:rPr>
        <w:t xml:space="preserve">er </w:t>
      </w:r>
      <w:r>
        <w:rPr>
          <w:color w:val="808080"/>
        </w:rPr>
        <w:t>e</w:t>
      </w:r>
      <w:r w:rsidRPr="006431EA">
        <w:rPr>
          <w:color w:val="808080"/>
        </w:rPr>
        <w:t xml:space="preserve">n samlet præsentation af sagen på </w:t>
      </w:r>
      <w:r>
        <w:rPr>
          <w:color w:val="808080"/>
        </w:rPr>
        <w:t xml:space="preserve">max </w:t>
      </w:r>
      <w:r w:rsidRPr="006431EA">
        <w:rPr>
          <w:color w:val="808080"/>
        </w:rPr>
        <w:t>10-12 sider</w:t>
      </w:r>
      <w:r>
        <w:rPr>
          <w:color w:val="808080"/>
        </w:rPr>
        <w:t xml:space="preserve"> eller kortere</w:t>
      </w:r>
      <w:r w:rsidRPr="006431EA">
        <w:rPr>
          <w:color w:val="808080"/>
        </w:rPr>
        <w:t>, der indeholder et</w:t>
      </w:r>
      <w:r w:rsidRPr="004E6816">
        <w:rPr>
          <w:color w:val="808080"/>
        </w:rPr>
        <w:t xml:space="preserve"> </w:t>
      </w:r>
      <w:r>
        <w:rPr>
          <w:color w:val="808080"/>
        </w:rPr>
        <w:t xml:space="preserve">meget </w:t>
      </w:r>
      <w:r w:rsidRPr="004E6816">
        <w:rPr>
          <w:color w:val="808080"/>
        </w:rPr>
        <w:t xml:space="preserve">kort resume </w:t>
      </w:r>
      <w:r>
        <w:rPr>
          <w:color w:val="808080"/>
        </w:rPr>
        <w:t xml:space="preserve">på 8-10 linje, </w:t>
      </w:r>
      <w:r w:rsidRPr="004E6816">
        <w:rPr>
          <w:color w:val="808080"/>
        </w:rPr>
        <w:t>de påstand(e) og anbringender, som gøres gældende – om muligt i systematisk og prioriteret rækkefølge</w:t>
      </w:r>
      <w:r>
        <w:rPr>
          <w:color w:val="808080"/>
        </w:rPr>
        <w:t xml:space="preserve"> – </w:t>
      </w:r>
      <w:r w:rsidRPr="006431EA">
        <w:rPr>
          <w:color w:val="808080"/>
        </w:rPr>
        <w:t>samt en redegørelse for de a</w:t>
      </w:r>
      <w:r w:rsidRPr="006431EA">
        <w:rPr>
          <w:color w:val="808080"/>
        </w:rPr>
        <w:t>n</w:t>
      </w:r>
      <w:r w:rsidRPr="006431EA">
        <w:rPr>
          <w:color w:val="808080"/>
        </w:rPr>
        <w:t xml:space="preserve">bringender, der gøres gældende for ankenævnet. </w:t>
      </w:r>
    </w:p>
    <w:p w14:paraId="6E4B285C" w14:textId="77777777" w:rsidR="008D0C2F" w:rsidRPr="006431EA" w:rsidRDefault="008D0C2F" w:rsidP="008D0C2F">
      <w:pPr>
        <w:jc w:val="both"/>
        <w:rPr>
          <w:color w:val="808080"/>
        </w:rPr>
      </w:pPr>
    </w:p>
    <w:p w14:paraId="6E4B285D" w14:textId="77777777" w:rsidR="008D0C2F" w:rsidRPr="004E6816" w:rsidRDefault="008D0C2F" w:rsidP="008D0C2F">
      <w:pPr>
        <w:jc w:val="both"/>
        <w:rPr>
          <w:color w:val="808080"/>
        </w:rPr>
      </w:pPr>
      <w:r w:rsidRPr="004E6816">
        <w:rPr>
          <w:color w:val="808080"/>
        </w:rPr>
        <w:t>Processkriftet skal udelukkende fokusere på sagens hovedproblemstilli</w:t>
      </w:r>
      <w:r w:rsidRPr="004E6816">
        <w:rPr>
          <w:color w:val="808080"/>
        </w:rPr>
        <w:t>n</w:t>
      </w:r>
      <w:r w:rsidRPr="004E6816">
        <w:rPr>
          <w:color w:val="808080"/>
        </w:rPr>
        <w:t>ger.</w:t>
      </w:r>
    </w:p>
    <w:p w14:paraId="6E4B285E" w14:textId="77777777" w:rsidR="008D0C2F" w:rsidRPr="004E6816" w:rsidRDefault="008D0C2F" w:rsidP="008D0C2F">
      <w:pPr>
        <w:jc w:val="both"/>
        <w:rPr>
          <w:color w:val="808080"/>
        </w:rPr>
      </w:pPr>
    </w:p>
    <w:p w14:paraId="6E4B285F" w14:textId="77777777" w:rsidR="008D0C2F" w:rsidRPr="004E6816" w:rsidRDefault="008D0C2F" w:rsidP="008D0C2F">
      <w:pPr>
        <w:jc w:val="both"/>
        <w:rPr>
          <w:color w:val="808080"/>
        </w:rPr>
      </w:pPr>
      <w:r w:rsidRPr="004E6816">
        <w:rPr>
          <w:color w:val="808080"/>
        </w:rPr>
        <w:t>Vinklen er atter ”den gode historie”, men processkriftet skal skæres kra</w:t>
      </w:r>
      <w:r w:rsidRPr="004E6816">
        <w:rPr>
          <w:color w:val="808080"/>
        </w:rPr>
        <w:t>f</w:t>
      </w:r>
      <w:r w:rsidRPr="004E6816">
        <w:rPr>
          <w:color w:val="808080"/>
        </w:rPr>
        <w:t>tigt til i forhold til svarskrift og duplik</w:t>
      </w:r>
      <w:r>
        <w:rPr>
          <w:color w:val="808080"/>
        </w:rPr>
        <w:t>, som a</w:t>
      </w:r>
      <w:r w:rsidRPr="004E6816">
        <w:rPr>
          <w:color w:val="808080"/>
        </w:rPr>
        <w:t xml:space="preserve">nkenævnet </w:t>
      </w:r>
      <w:r>
        <w:rPr>
          <w:color w:val="808080"/>
        </w:rPr>
        <w:t>også læ</w:t>
      </w:r>
      <w:r w:rsidRPr="004E6816">
        <w:rPr>
          <w:color w:val="808080"/>
        </w:rPr>
        <w:t xml:space="preserve">ser. Det sammenfattende processkriftet </w:t>
      </w:r>
      <w:r>
        <w:rPr>
          <w:color w:val="808080"/>
        </w:rPr>
        <w:t xml:space="preserve">er </w:t>
      </w:r>
      <w:r w:rsidRPr="004E6816">
        <w:rPr>
          <w:color w:val="808080"/>
        </w:rPr>
        <w:t>derfor ikke en mekanisk sammenskri</w:t>
      </w:r>
      <w:r w:rsidRPr="004E6816">
        <w:rPr>
          <w:color w:val="808080"/>
        </w:rPr>
        <w:t>v</w:t>
      </w:r>
      <w:r w:rsidRPr="004E6816">
        <w:rPr>
          <w:color w:val="808080"/>
        </w:rPr>
        <w:t xml:space="preserve">ning af disse, men skal </w:t>
      </w:r>
      <w:r>
        <w:rPr>
          <w:color w:val="808080"/>
        </w:rPr>
        <w:t xml:space="preserve">bruges </w:t>
      </w:r>
      <w:r w:rsidRPr="004E6816">
        <w:rPr>
          <w:color w:val="808080"/>
        </w:rPr>
        <w:t>som en vigtig platform for at fremhæve og sammenfatte de mest centrale anbringender og omstændigheder på en måde, så hovedproblemstillingerne træder klart frem i kombination med, at det fremstår som overbevisende, at rådet har foretaget en korrekt vu</w:t>
      </w:r>
      <w:r w:rsidRPr="004E6816">
        <w:rPr>
          <w:color w:val="808080"/>
        </w:rPr>
        <w:t>r</w:t>
      </w:r>
      <w:r w:rsidRPr="004E6816">
        <w:rPr>
          <w:color w:val="808080"/>
        </w:rPr>
        <w:lastRenderedPageBreak/>
        <w:t>dering af problemstillingerne og dermed truffet ”den helt rigtige afgøre</w:t>
      </w:r>
      <w:r w:rsidRPr="004E6816">
        <w:rPr>
          <w:color w:val="808080"/>
        </w:rPr>
        <w:t>l</w:t>
      </w:r>
      <w:r w:rsidRPr="004E6816">
        <w:rPr>
          <w:color w:val="808080"/>
        </w:rPr>
        <w:t xml:space="preserve">se”.   </w:t>
      </w:r>
    </w:p>
    <w:p w14:paraId="6E4B2860" w14:textId="77777777" w:rsidR="008D0C2F" w:rsidRPr="004E6816" w:rsidRDefault="008D0C2F" w:rsidP="008D0C2F">
      <w:pPr>
        <w:jc w:val="both"/>
        <w:rPr>
          <w:color w:val="808080"/>
        </w:rPr>
      </w:pPr>
    </w:p>
    <w:p w14:paraId="6E4B2861" w14:textId="77777777" w:rsidR="008D0C2F" w:rsidRPr="004E6816" w:rsidRDefault="008D0C2F" w:rsidP="008D0C2F">
      <w:pPr>
        <w:jc w:val="both"/>
        <w:rPr>
          <w:color w:val="808080"/>
        </w:rPr>
      </w:pPr>
      <w:r w:rsidRPr="004E6816">
        <w:rPr>
          <w:color w:val="808080"/>
        </w:rPr>
        <w:t xml:space="preserve">Et sammenfattende processkrift skal derfor være så kort som muligt og bør </w:t>
      </w:r>
      <w:r>
        <w:rPr>
          <w:color w:val="808080"/>
        </w:rPr>
        <w:t xml:space="preserve">under alle omstændigheder </w:t>
      </w:r>
      <w:r w:rsidRPr="004E6816">
        <w:rPr>
          <w:color w:val="808080"/>
        </w:rPr>
        <w:t>ikke overstige 10-12 sider.</w:t>
      </w:r>
    </w:p>
    <w:p w14:paraId="6E4B2862" w14:textId="77777777" w:rsidR="008D0C2F" w:rsidRDefault="008D0C2F" w:rsidP="008D0C2F">
      <w:pPr>
        <w:jc w:val="both"/>
        <w:rPr>
          <w:szCs w:val="24"/>
        </w:rPr>
      </w:pPr>
    </w:p>
    <w:p w14:paraId="6E4B2863" w14:textId="77777777" w:rsidR="008D0C2F" w:rsidRDefault="008D0C2F" w:rsidP="008D0C2F">
      <w:pPr>
        <w:pStyle w:val="Overskrift3"/>
        <w:ind w:lef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RESUME</w:t>
      </w:r>
    </w:p>
    <w:p w14:paraId="6E4B2864" w14:textId="77777777" w:rsidR="008D0C2F" w:rsidRDefault="008D0C2F" w:rsidP="008D0C2F">
      <w:pPr>
        <w:numPr>
          <w:ilvl w:val="0"/>
          <w:numId w:val="4"/>
        </w:numPr>
        <w:tabs>
          <w:tab w:val="clear" w:pos="360"/>
          <w:tab w:val="num" w:pos="426"/>
        </w:tabs>
        <w:ind w:left="426" w:hanging="426"/>
        <w:jc w:val="both"/>
        <w:rPr>
          <w:szCs w:val="22"/>
        </w:rPr>
      </w:pPr>
      <w:r w:rsidRPr="00722B03">
        <w:rPr>
          <w:szCs w:val="22"/>
        </w:rPr>
        <w:t xml:space="preserve">Sagen vedrører den adfærd, som </w:t>
      </w:r>
      <w:r>
        <w:rPr>
          <w:szCs w:val="22"/>
        </w:rPr>
        <w:t>[…]</w:t>
      </w:r>
    </w:p>
    <w:p w14:paraId="6E4B2865" w14:textId="77777777" w:rsidR="008D0C2F" w:rsidRDefault="008D0C2F" w:rsidP="008D0C2F">
      <w:pPr>
        <w:pStyle w:val="Overskrift3"/>
        <w:tabs>
          <w:tab w:val="num" w:pos="142"/>
          <w:tab w:val="left" w:pos="567"/>
        </w:tabs>
        <w:ind w:left="142" w:hanging="426"/>
        <w:rPr>
          <w:rFonts w:ascii="Times New Roman" w:hAnsi="Times New Roman" w:cs="Times New Roman"/>
        </w:rPr>
      </w:pPr>
    </w:p>
    <w:p w14:paraId="6E4B2866" w14:textId="77777777" w:rsidR="008D0C2F" w:rsidRDefault="008D0C2F" w:rsidP="008D0C2F">
      <w:pPr>
        <w:pStyle w:val="Overskrift3"/>
        <w:tabs>
          <w:tab w:val="num" w:pos="142"/>
          <w:tab w:val="left" w:pos="567"/>
        </w:tabs>
        <w:ind w:left="142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ANBRINGENDER</w:t>
      </w:r>
    </w:p>
    <w:p w14:paraId="6E4B2867" w14:textId="77777777" w:rsidR="008D0C2F" w:rsidRDefault="008D0C2F" w:rsidP="008D0C2F">
      <w:pPr>
        <w:numPr>
          <w:ilvl w:val="0"/>
          <w:numId w:val="4"/>
        </w:numPr>
        <w:jc w:val="both"/>
        <w:rPr>
          <w:szCs w:val="22"/>
        </w:rPr>
      </w:pPr>
      <w:r>
        <w:rPr>
          <w:szCs w:val="22"/>
        </w:rPr>
        <w:t>Til støtte for den nedlagte påstand gøres det gældende, at Konkurre</w:t>
      </w:r>
      <w:r>
        <w:rPr>
          <w:szCs w:val="22"/>
        </w:rPr>
        <w:t>n</w:t>
      </w:r>
      <w:r>
        <w:rPr>
          <w:szCs w:val="22"/>
        </w:rPr>
        <w:t xml:space="preserve">cerådet ved afgørelsen af </w:t>
      </w:r>
      <w:r w:rsidRPr="00A17438">
        <w:rPr>
          <w:color w:val="808080"/>
        </w:rPr>
        <w:t>[dato]</w:t>
      </w:r>
      <w:r>
        <w:rPr>
          <w:szCs w:val="22"/>
        </w:rPr>
        <w:t xml:space="preserve"> med rette har fundet, </w:t>
      </w:r>
    </w:p>
    <w:p w14:paraId="6E4B2868" w14:textId="77777777" w:rsidR="008D0C2F" w:rsidRDefault="008D0C2F" w:rsidP="008D0C2F">
      <w:pPr>
        <w:ind w:left="360"/>
        <w:jc w:val="both"/>
        <w:rPr>
          <w:szCs w:val="22"/>
        </w:rPr>
      </w:pPr>
    </w:p>
    <w:p w14:paraId="6E4B2869" w14:textId="77777777" w:rsidR="008D0C2F" w:rsidRPr="00D00A0D" w:rsidRDefault="008D0C2F" w:rsidP="008D0C2F">
      <w:pPr>
        <w:numPr>
          <w:ilvl w:val="0"/>
          <w:numId w:val="5"/>
        </w:numPr>
        <w:tabs>
          <w:tab w:val="num" w:pos="142"/>
          <w:tab w:val="num" w:pos="568"/>
        </w:tabs>
        <w:ind w:left="568" w:hanging="426"/>
        <w:jc w:val="both"/>
        <w:rPr>
          <w:szCs w:val="22"/>
        </w:rPr>
      </w:pPr>
      <w:r w:rsidRPr="00D00A0D">
        <w:rPr>
          <w:szCs w:val="22"/>
          <w:u w:val="single"/>
        </w:rPr>
        <w:t>at</w:t>
      </w:r>
      <w:r w:rsidRPr="00D00A0D">
        <w:rPr>
          <w:szCs w:val="22"/>
        </w:rPr>
        <w:t xml:space="preserve"> </w:t>
      </w:r>
      <w:r>
        <w:rPr>
          <w:szCs w:val="22"/>
        </w:rPr>
        <w:t xml:space="preserve">[…] </w:t>
      </w:r>
    </w:p>
    <w:p w14:paraId="6E4B286A" w14:textId="77777777" w:rsidR="008D0C2F" w:rsidRDefault="008D0C2F" w:rsidP="008D0C2F">
      <w:pPr>
        <w:numPr>
          <w:ilvl w:val="0"/>
          <w:numId w:val="5"/>
        </w:numPr>
        <w:tabs>
          <w:tab w:val="num" w:pos="142"/>
        </w:tabs>
        <w:ind w:left="568" w:hanging="426"/>
        <w:jc w:val="both"/>
        <w:rPr>
          <w:szCs w:val="22"/>
        </w:rPr>
      </w:pPr>
      <w:r>
        <w:rPr>
          <w:szCs w:val="22"/>
          <w:u w:val="single"/>
        </w:rPr>
        <w:t>at</w:t>
      </w:r>
      <w:r>
        <w:rPr>
          <w:szCs w:val="22"/>
        </w:rPr>
        <w:t xml:space="preserve"> […] </w:t>
      </w:r>
    </w:p>
    <w:p w14:paraId="6E4B286B" w14:textId="77777777" w:rsidR="008D0C2F" w:rsidRDefault="008D0C2F" w:rsidP="008D0C2F">
      <w:pPr>
        <w:ind w:left="568"/>
        <w:jc w:val="both"/>
        <w:rPr>
          <w:szCs w:val="22"/>
        </w:rPr>
      </w:pPr>
    </w:p>
    <w:p w14:paraId="6E4B286C" w14:textId="77777777" w:rsidR="008D0C2F" w:rsidRDefault="008D0C2F" w:rsidP="008D0C2F">
      <w:pPr>
        <w:jc w:val="both"/>
        <w:rPr>
          <w:szCs w:val="22"/>
        </w:rPr>
      </w:pPr>
      <w:r>
        <w:rPr>
          <w:szCs w:val="22"/>
        </w:rPr>
        <w:t>I tilknytning hertil og mere specifikt gøres det gældende:</w:t>
      </w:r>
    </w:p>
    <w:p w14:paraId="6E4B286D" w14:textId="77777777" w:rsidR="008D0C2F" w:rsidRDefault="008D0C2F" w:rsidP="008D0C2F">
      <w:pPr>
        <w:jc w:val="both"/>
        <w:rPr>
          <w:szCs w:val="22"/>
        </w:rPr>
      </w:pPr>
    </w:p>
    <w:p w14:paraId="6E4B286E" w14:textId="77777777" w:rsidR="008D0C2F" w:rsidRDefault="008D0C2F" w:rsidP="008D0C2F">
      <w:pPr>
        <w:jc w:val="both"/>
        <w:rPr>
          <w:szCs w:val="22"/>
        </w:rPr>
      </w:pPr>
      <w:r>
        <w:rPr>
          <w:szCs w:val="22"/>
        </w:rPr>
        <w:t>Eksempel</w:t>
      </w:r>
    </w:p>
    <w:p w14:paraId="6E4B286F" w14:textId="77777777" w:rsidR="008D0C2F" w:rsidRPr="008D1E96" w:rsidRDefault="008D0C2F" w:rsidP="008D0C2F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ind w:left="426" w:hanging="284"/>
        <w:jc w:val="both"/>
        <w:rPr>
          <w:i/>
          <w:szCs w:val="22"/>
        </w:rPr>
      </w:pPr>
      <w:r w:rsidRPr="008D1E96">
        <w:rPr>
          <w:i/>
          <w:szCs w:val="22"/>
          <w:u w:val="single"/>
        </w:rPr>
        <w:t>at</w:t>
      </w:r>
      <w:r w:rsidRPr="008D1E96">
        <w:rPr>
          <w:i/>
          <w:szCs w:val="22"/>
        </w:rPr>
        <w:t xml:space="preserve"> rådet har foretaget en tilstrækkelig afgrænsning af det relevante marked,</w:t>
      </w:r>
    </w:p>
    <w:p w14:paraId="6E4B2870" w14:textId="77777777" w:rsidR="008D0C2F" w:rsidRPr="008D1E96" w:rsidRDefault="008D0C2F" w:rsidP="008D0C2F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ind w:left="426" w:hanging="284"/>
        <w:jc w:val="both"/>
        <w:rPr>
          <w:i/>
          <w:szCs w:val="22"/>
        </w:rPr>
      </w:pPr>
      <w:r w:rsidRPr="008D1E96">
        <w:rPr>
          <w:i/>
          <w:szCs w:val="22"/>
          <w:u w:val="single"/>
        </w:rPr>
        <w:t>at</w:t>
      </w:r>
      <w:r w:rsidRPr="008D1E96">
        <w:rPr>
          <w:i/>
          <w:szCs w:val="22"/>
        </w:rPr>
        <w:t xml:space="preserve"> x, y og z, er aktuelle eller potentielle konkurrenter på samtlige markeder afgrænset i afgørelsen og,</w:t>
      </w:r>
    </w:p>
    <w:p w14:paraId="6E4B2871" w14:textId="77777777" w:rsidR="008D0C2F" w:rsidRPr="008D1E96" w:rsidRDefault="008D0C2F" w:rsidP="008D0C2F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142"/>
          <w:tab w:val="left" w:pos="426"/>
        </w:tabs>
        <w:ind w:left="426" w:hanging="284"/>
        <w:jc w:val="both"/>
        <w:rPr>
          <w:i/>
          <w:szCs w:val="22"/>
        </w:rPr>
      </w:pPr>
      <w:r w:rsidRPr="008D1E96">
        <w:rPr>
          <w:i/>
          <w:szCs w:val="22"/>
          <w:u w:val="single"/>
        </w:rPr>
        <w:t>at</w:t>
      </w:r>
      <w:r w:rsidRPr="008D1E96">
        <w:rPr>
          <w:i/>
          <w:szCs w:val="22"/>
        </w:rPr>
        <w:t xml:space="preserve"> rådet har løftet bevisbyrden for, at der foreligger en aftale om k</w:t>
      </w:r>
      <w:r w:rsidRPr="008D1E96">
        <w:rPr>
          <w:i/>
          <w:szCs w:val="22"/>
        </w:rPr>
        <w:t>o</w:t>
      </w:r>
      <w:r w:rsidRPr="008D1E96">
        <w:rPr>
          <w:i/>
          <w:szCs w:val="22"/>
        </w:rPr>
        <w:t>ordinering af priser og opdeling af markeder for […-produkter] i strid med konkurrencelovens § 6 og TEUF artikel 101, stk.1.</w:t>
      </w:r>
    </w:p>
    <w:p w14:paraId="6E4B2872" w14:textId="77777777" w:rsidR="008D0C2F" w:rsidRPr="00BE7A89" w:rsidRDefault="008D0C2F" w:rsidP="008D0C2F">
      <w:pPr>
        <w:tabs>
          <w:tab w:val="left" w:pos="426"/>
        </w:tabs>
        <w:ind w:left="426"/>
        <w:jc w:val="both"/>
        <w:rPr>
          <w:szCs w:val="22"/>
        </w:rPr>
      </w:pPr>
    </w:p>
    <w:p w14:paraId="6E4B2873" w14:textId="77777777" w:rsidR="008D0C2F" w:rsidRDefault="008D0C2F" w:rsidP="008D0C2F">
      <w:pPr>
        <w:numPr>
          <w:ilvl w:val="0"/>
          <w:numId w:val="4"/>
        </w:numPr>
        <w:jc w:val="both"/>
        <w:rPr>
          <w:szCs w:val="22"/>
        </w:rPr>
      </w:pPr>
      <w:r>
        <w:rPr>
          <w:szCs w:val="22"/>
        </w:rPr>
        <w:t xml:space="preserve">Rådet fastholder det anførte </w:t>
      </w:r>
      <w:r w:rsidRPr="006842CC">
        <w:rPr>
          <w:szCs w:val="22"/>
        </w:rPr>
        <w:t xml:space="preserve">i svarskriftet </w:t>
      </w:r>
      <w:r>
        <w:rPr>
          <w:szCs w:val="22"/>
        </w:rPr>
        <w:t xml:space="preserve">og i </w:t>
      </w:r>
      <w:r w:rsidRPr="006842CC">
        <w:rPr>
          <w:szCs w:val="22"/>
        </w:rPr>
        <w:t>duplikken</w:t>
      </w:r>
      <w:r>
        <w:rPr>
          <w:szCs w:val="22"/>
        </w:rPr>
        <w:t xml:space="preserve">. Rådet vil derfor begrænse sig til at komme med </w:t>
      </w:r>
      <w:r w:rsidRPr="006842CC">
        <w:rPr>
          <w:szCs w:val="22"/>
        </w:rPr>
        <w:t xml:space="preserve">følgende </w:t>
      </w:r>
      <w:r>
        <w:rPr>
          <w:szCs w:val="22"/>
        </w:rPr>
        <w:t xml:space="preserve">sammenfattende </w:t>
      </w:r>
      <w:r w:rsidRPr="006842CC">
        <w:rPr>
          <w:szCs w:val="22"/>
        </w:rPr>
        <w:t>b</w:t>
      </w:r>
      <w:r w:rsidRPr="006842CC">
        <w:rPr>
          <w:szCs w:val="22"/>
        </w:rPr>
        <w:t>e</w:t>
      </w:r>
      <w:r w:rsidRPr="006842CC">
        <w:rPr>
          <w:szCs w:val="22"/>
        </w:rPr>
        <w:t>mærkninger:</w:t>
      </w:r>
    </w:p>
    <w:p w14:paraId="6E4B2874" w14:textId="77777777" w:rsidR="008D0C2F" w:rsidRDefault="008D0C2F" w:rsidP="008D0C2F">
      <w:pPr>
        <w:pStyle w:val="Overskrift1"/>
        <w:ind w:left="360"/>
        <w:rPr>
          <w:color w:val="808080"/>
        </w:rPr>
      </w:pPr>
    </w:p>
    <w:p w14:paraId="6E4B2875" w14:textId="77777777" w:rsidR="008D0C2F" w:rsidRDefault="008D0C2F" w:rsidP="008D0C2F">
      <w:pPr>
        <w:pStyle w:val="Overskrift3"/>
        <w:tabs>
          <w:tab w:val="num" w:pos="142"/>
        </w:tabs>
        <w:ind w:left="142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DET JURIDISKE GRUNDLAG FOR RÅDETS AFGØRELSE</w:t>
      </w:r>
    </w:p>
    <w:p w14:paraId="6E4B2876" w14:textId="77777777" w:rsidR="008D0C2F" w:rsidRDefault="008D0C2F" w:rsidP="008D0C2F">
      <w:pPr>
        <w:ind w:left="360"/>
        <w:jc w:val="both"/>
        <w:rPr>
          <w:color w:val="808080"/>
        </w:rPr>
      </w:pPr>
    </w:p>
    <w:p w14:paraId="6E4B2877" w14:textId="77777777" w:rsidR="008D0C2F" w:rsidRPr="00AC3E40" w:rsidRDefault="008D0C2F" w:rsidP="008D0C2F">
      <w:pPr>
        <w:numPr>
          <w:ilvl w:val="0"/>
          <w:numId w:val="4"/>
        </w:numPr>
        <w:jc w:val="both"/>
        <w:rPr>
          <w:color w:val="808080"/>
          <w:szCs w:val="22"/>
        </w:rPr>
      </w:pPr>
      <w:r w:rsidRPr="00B221B4">
        <w:rPr>
          <w:color w:val="808080"/>
        </w:rPr>
        <w:t xml:space="preserve">Det kan ofte være en god ide at anvende underoverskrifter. </w:t>
      </w:r>
    </w:p>
    <w:p w14:paraId="6E4B2878" w14:textId="77777777" w:rsidR="008D0C2F" w:rsidRDefault="008D0C2F" w:rsidP="008D0C2F">
      <w:pPr>
        <w:ind w:left="360"/>
        <w:jc w:val="both"/>
        <w:rPr>
          <w:szCs w:val="22"/>
        </w:rPr>
      </w:pPr>
    </w:p>
    <w:p w14:paraId="6E4B2879" w14:textId="77777777" w:rsidR="008D0C2F" w:rsidRPr="004E6816" w:rsidRDefault="008D0C2F" w:rsidP="008D0C2F">
      <w:pPr>
        <w:numPr>
          <w:ilvl w:val="0"/>
          <w:numId w:val="4"/>
        </w:numPr>
        <w:tabs>
          <w:tab w:val="num" w:pos="142"/>
        </w:tabs>
        <w:jc w:val="both"/>
        <w:rPr>
          <w:color w:val="808080"/>
          <w:szCs w:val="22"/>
        </w:rPr>
      </w:pPr>
      <w:r>
        <w:rPr>
          <w:color w:val="808080"/>
          <w:szCs w:val="22"/>
          <w:u w:val="single"/>
        </w:rPr>
        <w:t>Om h</w:t>
      </w:r>
      <w:r w:rsidRPr="004E6816">
        <w:rPr>
          <w:color w:val="808080"/>
          <w:szCs w:val="22"/>
          <w:u w:val="single"/>
        </w:rPr>
        <w:t>envisninger:</w:t>
      </w:r>
      <w:r w:rsidRPr="004E6816">
        <w:rPr>
          <w:color w:val="808080"/>
          <w:szCs w:val="22"/>
        </w:rPr>
        <w:t xml:space="preserve"> For at give ankenævnet et </w:t>
      </w:r>
      <w:r>
        <w:rPr>
          <w:color w:val="808080"/>
          <w:szCs w:val="22"/>
        </w:rPr>
        <w:t xml:space="preserve">godt </w:t>
      </w:r>
      <w:r w:rsidRPr="004E6816">
        <w:rPr>
          <w:color w:val="808080"/>
          <w:szCs w:val="22"/>
        </w:rPr>
        <w:t>overblik, er det en god ide at henvise til de relevante punkter i afgørelsen, i forbindelse med gennemgangen af de centrale anbringender i processkriftet.</w:t>
      </w:r>
      <w:r w:rsidRPr="007F1B20">
        <w:rPr>
          <w:rStyle w:val="Fodnotehenvisning"/>
          <w:color w:val="808080"/>
          <w:szCs w:val="22"/>
        </w:rPr>
        <w:footnoteReference w:id="1"/>
      </w:r>
      <w:r w:rsidRPr="004E6816">
        <w:rPr>
          <w:color w:val="808080"/>
          <w:szCs w:val="22"/>
        </w:rPr>
        <w:t xml:space="preserve"> Der henvises til domme, retsakter og litteratur på samme måde som i sva</w:t>
      </w:r>
      <w:r w:rsidRPr="004E6816">
        <w:rPr>
          <w:color w:val="808080"/>
          <w:szCs w:val="22"/>
        </w:rPr>
        <w:t>r</w:t>
      </w:r>
      <w:r w:rsidRPr="004E6816">
        <w:rPr>
          <w:color w:val="808080"/>
          <w:szCs w:val="22"/>
        </w:rPr>
        <w:lastRenderedPageBreak/>
        <w:t>skrift og duplik. Henvisninger følger retningslinjerne i KFST’s sprogmanual</w:t>
      </w:r>
      <w:r>
        <w:rPr>
          <w:color w:val="808080"/>
          <w:szCs w:val="22"/>
        </w:rPr>
        <w:t xml:space="preserve"> (se også eksemplerne i </w:t>
      </w:r>
      <w:r w:rsidRPr="00AC3E40">
        <w:rPr>
          <w:color w:val="808080"/>
          <w:szCs w:val="22"/>
        </w:rPr>
        <w:t>noterne,</w:t>
      </w:r>
      <w:r w:rsidRPr="00AC3E40">
        <w:rPr>
          <w:color w:val="808080"/>
          <w:szCs w:val="22"/>
          <w:vertAlign w:val="superscript"/>
        </w:rPr>
        <w:footnoteReference w:id="2"/>
      </w:r>
      <w:r w:rsidRPr="00AC3E40">
        <w:rPr>
          <w:color w:val="808080"/>
          <w:szCs w:val="22"/>
        </w:rPr>
        <w:t xml:space="preserve">, </w:t>
      </w:r>
      <w:r w:rsidRPr="00AC3E40">
        <w:rPr>
          <w:rStyle w:val="Fodnotehenvisning"/>
          <w:color w:val="808080"/>
          <w:szCs w:val="22"/>
        </w:rPr>
        <w:footnoteReference w:id="3"/>
      </w:r>
      <w:r w:rsidRPr="00AC3E40">
        <w:rPr>
          <w:color w:val="808080"/>
          <w:szCs w:val="22"/>
        </w:rPr>
        <w:t>).</w:t>
      </w:r>
    </w:p>
    <w:p w14:paraId="6E4B287A" w14:textId="77777777" w:rsidR="008D0C2F" w:rsidRPr="004E6816" w:rsidRDefault="008D0C2F" w:rsidP="008D0C2F">
      <w:pPr>
        <w:ind w:left="360"/>
        <w:jc w:val="both"/>
        <w:rPr>
          <w:color w:val="808080"/>
          <w:szCs w:val="22"/>
        </w:rPr>
      </w:pPr>
    </w:p>
    <w:p w14:paraId="6E4B287B" w14:textId="77777777" w:rsidR="008D0C2F" w:rsidRPr="008D1E96" w:rsidRDefault="008D0C2F" w:rsidP="008D0C2F">
      <w:pPr>
        <w:numPr>
          <w:ilvl w:val="0"/>
          <w:numId w:val="4"/>
        </w:numPr>
        <w:jc w:val="both"/>
        <w:rPr>
          <w:i/>
          <w:szCs w:val="22"/>
        </w:rPr>
      </w:pPr>
      <w:r>
        <w:rPr>
          <w:color w:val="808080"/>
          <w:szCs w:val="22"/>
        </w:rPr>
        <w:t>D</w:t>
      </w:r>
      <w:r w:rsidRPr="004E6816">
        <w:rPr>
          <w:color w:val="808080"/>
          <w:szCs w:val="22"/>
        </w:rPr>
        <w:t xml:space="preserve">et sammenfattende processkrift </w:t>
      </w:r>
      <w:r>
        <w:rPr>
          <w:color w:val="808080"/>
          <w:szCs w:val="22"/>
        </w:rPr>
        <w:t xml:space="preserve">skal </w:t>
      </w:r>
      <w:r w:rsidRPr="004E6816">
        <w:rPr>
          <w:color w:val="808080"/>
          <w:szCs w:val="22"/>
        </w:rPr>
        <w:t>ikke være en mekanisk geng</w:t>
      </w:r>
      <w:r w:rsidRPr="004E6816">
        <w:rPr>
          <w:color w:val="808080"/>
          <w:szCs w:val="22"/>
        </w:rPr>
        <w:t>i</w:t>
      </w:r>
      <w:r w:rsidRPr="004E6816">
        <w:rPr>
          <w:color w:val="808080"/>
          <w:szCs w:val="22"/>
        </w:rPr>
        <w:t xml:space="preserve">velse af det anførte i </w:t>
      </w:r>
      <w:r>
        <w:rPr>
          <w:color w:val="808080"/>
          <w:szCs w:val="22"/>
        </w:rPr>
        <w:t xml:space="preserve">afgørelsen, </w:t>
      </w:r>
      <w:r w:rsidRPr="004E6816">
        <w:rPr>
          <w:color w:val="808080"/>
          <w:szCs w:val="22"/>
        </w:rPr>
        <w:t>svarskriftet og duplik</w:t>
      </w:r>
      <w:r>
        <w:rPr>
          <w:color w:val="808080"/>
          <w:szCs w:val="22"/>
        </w:rPr>
        <w:t>. Man kan de</w:t>
      </w:r>
      <w:r>
        <w:rPr>
          <w:color w:val="808080"/>
          <w:szCs w:val="22"/>
        </w:rPr>
        <w:t>r</w:t>
      </w:r>
      <w:r>
        <w:rPr>
          <w:color w:val="808080"/>
          <w:szCs w:val="22"/>
        </w:rPr>
        <w:t xml:space="preserve">for også </w:t>
      </w:r>
      <w:r w:rsidRPr="004E6816">
        <w:rPr>
          <w:color w:val="808080"/>
          <w:szCs w:val="22"/>
        </w:rPr>
        <w:t>med fordel henvise til relevante steder i svarskrift og duplik</w:t>
      </w:r>
    </w:p>
    <w:p w14:paraId="6E4B287C" w14:textId="77777777" w:rsidR="008D0C2F" w:rsidRDefault="008D0C2F" w:rsidP="008D0C2F">
      <w:pPr>
        <w:ind w:left="142"/>
        <w:jc w:val="both"/>
        <w:rPr>
          <w:i/>
          <w:szCs w:val="22"/>
        </w:rPr>
      </w:pPr>
    </w:p>
    <w:p w14:paraId="6E4B287D" w14:textId="77777777" w:rsidR="008D0C2F" w:rsidRDefault="008D0C2F" w:rsidP="008D0C2F">
      <w:pPr>
        <w:jc w:val="both"/>
        <w:rPr>
          <w:szCs w:val="22"/>
        </w:rPr>
      </w:pPr>
      <w:r>
        <w:rPr>
          <w:szCs w:val="22"/>
        </w:rPr>
        <w:t xml:space="preserve">Eksempel: Henvisninger </w:t>
      </w:r>
    </w:p>
    <w:p w14:paraId="6E4B287E" w14:textId="77777777" w:rsidR="008D0C2F" w:rsidRDefault="008D0C2F" w:rsidP="008D0C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ind w:left="142"/>
        <w:jc w:val="both"/>
        <w:rPr>
          <w:i/>
          <w:szCs w:val="22"/>
        </w:rPr>
      </w:pPr>
      <w:r w:rsidRPr="008D1E96">
        <w:rPr>
          <w:i/>
          <w:szCs w:val="22"/>
        </w:rPr>
        <w:t>”Rådet har behandlet dette spørgsmål indgående i både svarskrift og duplik med inddragelse af eksempler, der illustrerer, hvorfor x, y og z er aktuelle eller potentielle konkurrenter. Samtidig har rådet redegjort for, hvorfor klagers eksempler i klageskriftet afsnit 5.2 og 5.3 med […] er tilpasset formålet og er uanvendelige</w:t>
      </w:r>
    </w:p>
    <w:p w14:paraId="6E4B287F" w14:textId="77777777" w:rsidR="008D0C2F" w:rsidRPr="008D1E96" w:rsidRDefault="008D0C2F" w:rsidP="008D0C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ind w:left="142"/>
        <w:jc w:val="both"/>
        <w:rPr>
          <w:i/>
          <w:szCs w:val="22"/>
        </w:rPr>
      </w:pPr>
      <w:r w:rsidRPr="008D1E96">
        <w:rPr>
          <w:i/>
          <w:szCs w:val="22"/>
        </w:rPr>
        <w:t>Der henvises uddybende til svarskriftet pkt. 59-64 og duplikken pkt. 16-17. Rådet skal derfor begrænse sig til at anføre følgende om parternes status som konkurrenter: […].”</w:t>
      </w:r>
    </w:p>
    <w:p w14:paraId="6E4B2880" w14:textId="77777777" w:rsidR="008D0C2F" w:rsidRDefault="008D0C2F" w:rsidP="008D0C2F">
      <w:pPr>
        <w:ind w:left="142"/>
        <w:jc w:val="both"/>
        <w:rPr>
          <w:i/>
          <w:szCs w:val="22"/>
        </w:rPr>
      </w:pPr>
    </w:p>
    <w:p w14:paraId="6E4B2881" w14:textId="77777777" w:rsidR="008D0C2F" w:rsidRPr="008D1E96" w:rsidRDefault="008D0C2F" w:rsidP="008D0C2F">
      <w:pPr>
        <w:numPr>
          <w:ilvl w:val="0"/>
          <w:numId w:val="4"/>
        </w:numPr>
        <w:tabs>
          <w:tab w:val="num" w:pos="142"/>
        </w:tabs>
        <w:jc w:val="both"/>
        <w:rPr>
          <w:i/>
          <w:szCs w:val="22"/>
        </w:rPr>
      </w:pPr>
      <w:r w:rsidRPr="004E6816">
        <w:rPr>
          <w:color w:val="808080"/>
          <w:szCs w:val="22"/>
        </w:rPr>
        <w:t xml:space="preserve">Det er en god ide at sammenfatte konklusionen til sidst, hvis der er tale om længere afsnit. </w:t>
      </w:r>
    </w:p>
    <w:p w14:paraId="6E4B2882" w14:textId="77777777" w:rsidR="008D0C2F" w:rsidRPr="008D1E96" w:rsidRDefault="008D0C2F" w:rsidP="008D0C2F">
      <w:pPr>
        <w:ind w:left="360"/>
        <w:jc w:val="both"/>
        <w:rPr>
          <w:i/>
          <w:szCs w:val="22"/>
        </w:rPr>
      </w:pPr>
    </w:p>
    <w:p w14:paraId="6E4B2883" w14:textId="77777777" w:rsidR="008D0C2F" w:rsidRDefault="008D0C2F" w:rsidP="008D0C2F">
      <w:pPr>
        <w:ind w:left="142"/>
        <w:jc w:val="both"/>
        <w:rPr>
          <w:szCs w:val="22"/>
        </w:rPr>
      </w:pPr>
      <w:r>
        <w:rPr>
          <w:szCs w:val="22"/>
        </w:rPr>
        <w:t xml:space="preserve">Eksempel: Sammenfatninger </w:t>
      </w:r>
    </w:p>
    <w:p w14:paraId="6E4B2884" w14:textId="77777777" w:rsidR="008D0C2F" w:rsidRPr="008D1E96" w:rsidRDefault="008D0C2F" w:rsidP="008D0C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ind w:left="142"/>
        <w:jc w:val="both"/>
        <w:rPr>
          <w:i/>
          <w:szCs w:val="22"/>
        </w:rPr>
      </w:pPr>
      <w:r w:rsidRPr="008D1E96">
        <w:rPr>
          <w:i/>
          <w:szCs w:val="22"/>
        </w:rPr>
        <w:t>”Rådet fastholder dermed sammenfattende, at aftalen mellem parterne skal bedømmes som en horisontal aftale om koordinering af priser og opdeling af markeder, og at aftalen er i strid med konkurrencelovens § 6 og TEUF artikel 101.”</w:t>
      </w:r>
    </w:p>
    <w:p w14:paraId="6E4B2885" w14:textId="77777777" w:rsidR="008D0C2F" w:rsidRPr="00B221B4" w:rsidRDefault="008D0C2F" w:rsidP="008D0C2F">
      <w:pPr>
        <w:ind w:left="142"/>
        <w:jc w:val="both"/>
        <w:rPr>
          <w:i/>
          <w:szCs w:val="22"/>
        </w:rPr>
      </w:pPr>
    </w:p>
    <w:p w14:paraId="6E4B2886" w14:textId="77777777" w:rsidR="008D0C2F" w:rsidRDefault="008D0C2F" w:rsidP="008D0C2F">
      <w:pPr>
        <w:numPr>
          <w:ilvl w:val="0"/>
          <w:numId w:val="4"/>
        </w:numPr>
        <w:jc w:val="both"/>
        <w:rPr>
          <w:color w:val="808080"/>
        </w:rPr>
      </w:pPr>
      <w:r w:rsidRPr="007F1B20">
        <w:rPr>
          <w:color w:val="808080"/>
        </w:rPr>
        <w:t xml:space="preserve">Der kan </w:t>
      </w:r>
      <w:r>
        <w:rPr>
          <w:color w:val="808080"/>
        </w:rPr>
        <w:t xml:space="preserve">bruges </w:t>
      </w:r>
      <w:r w:rsidRPr="007F1B20">
        <w:rPr>
          <w:color w:val="808080"/>
        </w:rPr>
        <w:t>supplerende hovedoverskrifter, hvis det er hensigt</w:t>
      </w:r>
      <w:r w:rsidRPr="007F1B20">
        <w:rPr>
          <w:color w:val="808080"/>
        </w:rPr>
        <w:t>s</w:t>
      </w:r>
      <w:r w:rsidRPr="007F1B20">
        <w:rPr>
          <w:color w:val="808080"/>
        </w:rPr>
        <w:t>mæssigt</w:t>
      </w:r>
      <w:r>
        <w:rPr>
          <w:color w:val="808080"/>
        </w:rPr>
        <w:t>, fx ”Rådets bedømmelse af sagens dokumentation”, hvorefter det forhold, som hovedoverskriften omhandler, uddybes</w:t>
      </w:r>
      <w:r w:rsidRPr="007F1B20">
        <w:rPr>
          <w:color w:val="808080"/>
        </w:rPr>
        <w:t xml:space="preserve">. </w:t>
      </w:r>
      <w:r>
        <w:rPr>
          <w:color w:val="808080"/>
        </w:rPr>
        <w:t>H</w:t>
      </w:r>
      <w:r w:rsidRPr="007F1B20">
        <w:rPr>
          <w:color w:val="808080"/>
        </w:rPr>
        <w:t>ovedove</w:t>
      </w:r>
      <w:r w:rsidRPr="007F1B20">
        <w:rPr>
          <w:color w:val="808080"/>
        </w:rPr>
        <w:t>r</w:t>
      </w:r>
      <w:r w:rsidRPr="007F1B20">
        <w:rPr>
          <w:color w:val="808080"/>
        </w:rPr>
        <w:t>skrifterne</w:t>
      </w:r>
      <w:r>
        <w:rPr>
          <w:color w:val="808080"/>
        </w:rPr>
        <w:t xml:space="preserve"> anføres i den rækkefølge</w:t>
      </w:r>
      <w:r w:rsidRPr="007F1B20">
        <w:rPr>
          <w:color w:val="808080"/>
        </w:rPr>
        <w:t xml:space="preserve">, som er mest hensigtsmæssig i den konkrete sag. Af hensyn til genkendeligheden bør overskrifterne dog </w:t>
      </w:r>
      <w:r>
        <w:rPr>
          <w:color w:val="808080"/>
        </w:rPr>
        <w:t xml:space="preserve">indholdsmæssigt </w:t>
      </w:r>
      <w:r w:rsidRPr="007F1B20">
        <w:rPr>
          <w:color w:val="808080"/>
        </w:rPr>
        <w:t xml:space="preserve">svare til de overskrifter, </w:t>
      </w:r>
      <w:r>
        <w:rPr>
          <w:color w:val="808080"/>
        </w:rPr>
        <w:t xml:space="preserve">der måtte være </w:t>
      </w:r>
      <w:r w:rsidRPr="007F1B20">
        <w:rPr>
          <w:color w:val="808080"/>
        </w:rPr>
        <w:t>anvendt i svarskrift og duplik.</w:t>
      </w:r>
    </w:p>
    <w:p w14:paraId="6E4B2887" w14:textId="77777777" w:rsidR="008D0C2F" w:rsidRPr="004E6816" w:rsidRDefault="008D0C2F" w:rsidP="008D0C2F">
      <w:pPr>
        <w:ind w:left="142"/>
        <w:jc w:val="both"/>
        <w:rPr>
          <w:color w:val="808080"/>
          <w:szCs w:val="22"/>
        </w:rPr>
      </w:pPr>
    </w:p>
    <w:p w14:paraId="6E4B2888" w14:textId="77777777" w:rsidR="008D0C2F" w:rsidRDefault="008D0C2F" w:rsidP="008D0C2F">
      <w:pPr>
        <w:pStyle w:val="Brdtekst"/>
        <w:jc w:val="center"/>
      </w:pPr>
    </w:p>
    <w:p w14:paraId="6E4B2889" w14:textId="77777777" w:rsidR="008D0C2F" w:rsidRPr="00751735" w:rsidRDefault="008D0C2F" w:rsidP="008D0C2F">
      <w:pPr>
        <w:jc w:val="center"/>
        <w:rPr>
          <w:color w:val="808080"/>
        </w:rPr>
      </w:pPr>
      <w:r>
        <w:t>Valby, den</w:t>
      </w:r>
      <w:r w:rsidRPr="00751735">
        <w:rPr>
          <w:color w:val="808080"/>
        </w:rPr>
        <w:t xml:space="preserve"> [dato]</w:t>
      </w:r>
    </w:p>
    <w:p w14:paraId="6E4B288A" w14:textId="77777777" w:rsidR="008D0C2F" w:rsidRPr="00751735" w:rsidRDefault="008D0C2F" w:rsidP="008D0C2F">
      <w:pPr>
        <w:jc w:val="center"/>
        <w:rPr>
          <w:color w:val="808080"/>
        </w:rPr>
      </w:pPr>
    </w:p>
    <w:p w14:paraId="6E4B288B" w14:textId="77777777" w:rsidR="008D0C2F" w:rsidRPr="00751735" w:rsidRDefault="008D0C2F" w:rsidP="008D0C2F">
      <w:pPr>
        <w:jc w:val="center"/>
        <w:rPr>
          <w:color w:val="808080"/>
        </w:rPr>
      </w:pPr>
      <w:r w:rsidRPr="00751735">
        <w:rPr>
          <w:color w:val="808080"/>
        </w:rPr>
        <w:t>[navn]</w:t>
      </w:r>
    </w:p>
    <w:p w14:paraId="6E4B288C" w14:textId="77777777" w:rsidR="008D0C2F" w:rsidRDefault="008D0C2F" w:rsidP="008D0C2F">
      <w:pPr>
        <w:rPr>
          <w:u w:val="single"/>
        </w:rPr>
      </w:pPr>
    </w:p>
    <w:p w14:paraId="6E4B288D" w14:textId="77777777" w:rsidR="008D0C2F" w:rsidRDefault="008D0C2F" w:rsidP="008D0C2F">
      <w:pPr>
        <w:rPr>
          <w:b/>
          <w:szCs w:val="22"/>
          <w:u w:val="single"/>
        </w:rPr>
      </w:pPr>
    </w:p>
    <w:p w14:paraId="6E4B288E" w14:textId="77777777" w:rsidR="008D0C2F" w:rsidRPr="00C22B9B" w:rsidRDefault="008D0C2F" w:rsidP="008D0C2F">
      <w:pPr>
        <w:rPr>
          <w:b/>
          <w:szCs w:val="22"/>
          <w:u w:val="single"/>
        </w:rPr>
      </w:pPr>
      <w:r w:rsidRPr="00C22B9B">
        <w:rPr>
          <w:b/>
          <w:szCs w:val="22"/>
          <w:u w:val="single"/>
        </w:rPr>
        <w:t>Dokumenter som påberåbes:</w:t>
      </w:r>
    </w:p>
    <w:p w14:paraId="6E4B288F" w14:textId="77777777" w:rsidR="008D0C2F" w:rsidRDefault="008D0C2F" w:rsidP="008D0C2F">
      <w:pPr>
        <w:rPr>
          <w:color w:val="808080"/>
        </w:rPr>
      </w:pPr>
    </w:p>
    <w:p w14:paraId="6E4B2890" w14:textId="77777777" w:rsidR="008D0C2F" w:rsidRDefault="008D0C2F" w:rsidP="008D0C2F">
      <w:pPr>
        <w:rPr>
          <w:color w:val="808080"/>
        </w:rPr>
      </w:pPr>
      <w:r>
        <w:rPr>
          <w:color w:val="808080"/>
        </w:rPr>
        <w:lastRenderedPageBreak/>
        <w:t>Alle bilag, som er fremlagt af rådet under skriftvekslingen, gentages i det sammenfattende processkrift (med mindre man ikke vil påberåbe sig det pågældende bilag længere)</w:t>
      </w:r>
    </w:p>
    <w:p w14:paraId="6E4B2891" w14:textId="77777777" w:rsidR="008D0C2F" w:rsidRDefault="008D0C2F" w:rsidP="008D0C2F">
      <w:pPr>
        <w:rPr>
          <w:szCs w:val="22"/>
        </w:rPr>
      </w:pPr>
    </w:p>
    <w:p w14:paraId="6E4B2892" w14:textId="77777777" w:rsidR="008D0C2F" w:rsidRPr="00F92C18" w:rsidRDefault="008D0C2F" w:rsidP="008D0C2F">
      <w:pPr>
        <w:rPr>
          <w:szCs w:val="22"/>
        </w:rPr>
      </w:pPr>
      <w:r w:rsidRPr="00F92C18">
        <w:rPr>
          <w:szCs w:val="22"/>
        </w:rPr>
        <w:t>Bilag A:</w:t>
      </w:r>
      <w:r w:rsidRPr="00F92C18">
        <w:rPr>
          <w:szCs w:val="22"/>
        </w:rPr>
        <w:tab/>
        <w:t xml:space="preserve">Konkurrencerådets afgørelse af </w:t>
      </w:r>
      <w:r>
        <w:rPr>
          <w:szCs w:val="22"/>
        </w:rPr>
        <w:t>[</w:t>
      </w:r>
      <w:r w:rsidRPr="00F92C18">
        <w:rPr>
          <w:szCs w:val="22"/>
        </w:rPr>
        <w:t>…</w:t>
      </w:r>
      <w:r>
        <w:rPr>
          <w:szCs w:val="22"/>
        </w:rPr>
        <w:t>]</w:t>
      </w:r>
    </w:p>
    <w:p w14:paraId="6E4B2893" w14:textId="77777777" w:rsidR="008D0C2F" w:rsidRPr="00F92C18" w:rsidRDefault="008D0C2F" w:rsidP="008D0C2F">
      <w:pPr>
        <w:rPr>
          <w:szCs w:val="22"/>
          <w:lang w:val="en-GB"/>
        </w:rPr>
      </w:pPr>
      <w:r w:rsidRPr="00F92C18">
        <w:rPr>
          <w:szCs w:val="22"/>
          <w:lang w:val="en-US"/>
        </w:rPr>
        <w:t>Bilag</w:t>
      </w:r>
      <w:r w:rsidRPr="00F92C18">
        <w:rPr>
          <w:szCs w:val="22"/>
          <w:lang w:val="en-GB"/>
        </w:rPr>
        <w:t xml:space="preserve"> A1:</w:t>
      </w:r>
    </w:p>
    <w:p w14:paraId="6E4B2894" w14:textId="77777777" w:rsidR="008D0C2F" w:rsidRPr="00F92C18" w:rsidRDefault="008D0C2F" w:rsidP="008D0C2F">
      <w:pPr>
        <w:rPr>
          <w:szCs w:val="22"/>
          <w:lang w:val="en-GB"/>
        </w:rPr>
      </w:pPr>
      <w:r w:rsidRPr="00F92C18">
        <w:rPr>
          <w:szCs w:val="22"/>
          <w:lang w:val="en-US"/>
        </w:rPr>
        <w:t>Bilag</w:t>
      </w:r>
      <w:r w:rsidRPr="00F92C18">
        <w:rPr>
          <w:szCs w:val="22"/>
          <w:lang w:val="en-GB"/>
        </w:rPr>
        <w:t xml:space="preserve"> A2:</w:t>
      </w:r>
    </w:p>
    <w:p w14:paraId="6E4B2895" w14:textId="77777777" w:rsidR="008D0C2F" w:rsidRPr="00F92C18" w:rsidRDefault="008D0C2F" w:rsidP="008D0C2F">
      <w:pPr>
        <w:rPr>
          <w:szCs w:val="22"/>
          <w:lang w:val="en-GB"/>
        </w:rPr>
      </w:pPr>
      <w:r w:rsidRPr="00F92C18">
        <w:rPr>
          <w:szCs w:val="22"/>
          <w:lang w:val="en-US"/>
        </w:rPr>
        <w:t>Bilag</w:t>
      </w:r>
      <w:r w:rsidRPr="00F92C18">
        <w:rPr>
          <w:szCs w:val="22"/>
          <w:lang w:val="en-GB"/>
        </w:rPr>
        <w:t xml:space="preserve"> A3:</w:t>
      </w:r>
    </w:p>
    <w:p w14:paraId="6E4B2896" w14:textId="77777777" w:rsidR="008D0C2F" w:rsidRPr="00F92C18" w:rsidRDefault="008D0C2F" w:rsidP="008D0C2F">
      <w:pPr>
        <w:rPr>
          <w:szCs w:val="22"/>
        </w:rPr>
      </w:pPr>
      <w:r w:rsidRPr="00F92C18">
        <w:rPr>
          <w:szCs w:val="22"/>
        </w:rPr>
        <w:t>Bilag B:</w:t>
      </w:r>
    </w:p>
    <w:p w14:paraId="6E4B2897" w14:textId="77777777" w:rsidR="008D0C2F" w:rsidRDefault="008D0C2F" w:rsidP="008D0C2F">
      <w:pPr>
        <w:rPr>
          <w:color w:val="808080"/>
        </w:rPr>
      </w:pPr>
      <w:r w:rsidRPr="00751735">
        <w:rPr>
          <w:color w:val="808080"/>
        </w:rPr>
        <w:t>Husk at man aldrig benytter bogstav I.</w:t>
      </w:r>
    </w:p>
    <w:p w14:paraId="6E4B2898" w14:textId="77777777" w:rsidR="00BB5E75" w:rsidRPr="00840960" w:rsidRDefault="00BB5E75" w:rsidP="00B91F8E">
      <w:pPr>
        <w:spacing w:line="280" w:lineRule="atLeast"/>
      </w:pPr>
    </w:p>
    <w:sectPr w:rsidR="00BB5E75" w:rsidRPr="00840960" w:rsidSect="003A1F35">
      <w:footerReference w:type="default" r:id="rId10"/>
      <w:headerReference w:type="first" r:id="rId11"/>
      <w:pgSz w:w="11906" w:h="16838"/>
      <w:pgMar w:top="2325" w:right="3686" w:bottom="794" w:left="1106" w:header="2268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4B289B" w14:textId="77777777" w:rsidR="00B60AFB" w:rsidRDefault="00B60AFB" w:rsidP="00291615">
      <w:pPr>
        <w:spacing w:line="240" w:lineRule="auto"/>
      </w:pPr>
      <w:r>
        <w:separator/>
      </w:r>
    </w:p>
  </w:endnote>
  <w:endnote w:type="continuationSeparator" w:id="0">
    <w:p w14:paraId="6E4B289C" w14:textId="77777777" w:rsidR="00B60AFB" w:rsidRDefault="00B60AFB" w:rsidP="002916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B289D" w14:textId="77777777" w:rsidR="003A1F35" w:rsidRDefault="003A1F35">
    <w:pPr>
      <w:pStyle w:val="Sidefod"/>
      <w:jc w:val="right"/>
    </w:pPr>
    <w:r>
      <w:tab/>
    </w:r>
    <w:r>
      <w:tab/>
    </w:r>
    <w:sdt>
      <w:sdtPr>
        <w:id w:val="97538563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2F46C6">
          <w:rPr>
            <w:noProof/>
          </w:rPr>
          <w:t>4</w:t>
        </w:r>
        <w:r>
          <w:fldChar w:fldCharType="end"/>
        </w:r>
      </w:sdtContent>
    </w:sdt>
  </w:p>
  <w:p w14:paraId="6E4B289E" w14:textId="77777777" w:rsidR="003A1F35" w:rsidRDefault="003A1F35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4B2899" w14:textId="77777777" w:rsidR="00B60AFB" w:rsidRDefault="00B60AFB" w:rsidP="00291615">
      <w:pPr>
        <w:spacing w:line="240" w:lineRule="auto"/>
      </w:pPr>
      <w:r>
        <w:separator/>
      </w:r>
    </w:p>
  </w:footnote>
  <w:footnote w:type="continuationSeparator" w:id="0">
    <w:p w14:paraId="6E4B289A" w14:textId="77777777" w:rsidR="00B60AFB" w:rsidRDefault="00B60AFB" w:rsidP="00291615">
      <w:pPr>
        <w:spacing w:line="240" w:lineRule="auto"/>
      </w:pPr>
      <w:r>
        <w:continuationSeparator/>
      </w:r>
    </w:p>
  </w:footnote>
  <w:footnote w:id="1">
    <w:p w14:paraId="6E4B28A2" w14:textId="77777777" w:rsidR="008D0C2F" w:rsidRDefault="008D0C2F" w:rsidP="008D0C2F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Pr="005E0C0F">
        <w:rPr>
          <w:sz w:val="18"/>
          <w:szCs w:val="18"/>
        </w:rPr>
        <w:t xml:space="preserve">Der henvises uddybende til afgørelsen pkt. 310-312, pkt. 348-349 og pkt. 353-355 vedrørende </w:t>
      </w:r>
      <w:r>
        <w:rPr>
          <w:sz w:val="18"/>
          <w:szCs w:val="18"/>
        </w:rPr>
        <w:t>[…]</w:t>
      </w:r>
      <w:r w:rsidRPr="005E0C0F">
        <w:rPr>
          <w:sz w:val="18"/>
          <w:szCs w:val="18"/>
        </w:rPr>
        <w:t>.</w:t>
      </w:r>
    </w:p>
  </w:footnote>
  <w:footnote w:id="2">
    <w:p w14:paraId="6E4B28A3" w14:textId="77777777" w:rsidR="008D0C2F" w:rsidRDefault="008D0C2F" w:rsidP="008D0C2F">
      <w:pPr>
        <w:pStyle w:val="Fodnotetekst"/>
        <w:rPr>
          <w:sz w:val="18"/>
          <w:szCs w:val="18"/>
        </w:rPr>
      </w:pPr>
      <w:r>
        <w:rPr>
          <w:rStyle w:val="Fodnotehenvisning"/>
        </w:rPr>
        <w:footnoteRef/>
      </w:r>
      <w:r>
        <w:t xml:space="preserve"> </w:t>
      </w:r>
      <w:r>
        <w:rPr>
          <w:sz w:val="18"/>
          <w:szCs w:val="18"/>
        </w:rPr>
        <w:t xml:space="preserve">Jf. </w:t>
      </w:r>
      <w:r w:rsidRPr="008A7C83">
        <w:rPr>
          <w:sz w:val="18"/>
          <w:szCs w:val="18"/>
        </w:rPr>
        <w:t>U. 2005.2343Ø</w:t>
      </w:r>
      <w:r>
        <w:rPr>
          <w:sz w:val="18"/>
          <w:szCs w:val="18"/>
        </w:rPr>
        <w:t xml:space="preserve"> (Bøde på 74.000 kr. til el-virksomhed for overtrædelse af § 6, stk. 1).</w:t>
      </w:r>
    </w:p>
  </w:footnote>
  <w:footnote w:id="3">
    <w:p w14:paraId="6E4B28A4" w14:textId="77777777" w:rsidR="008D0C2F" w:rsidRDefault="008D0C2F" w:rsidP="008D0C2F">
      <w:pPr>
        <w:pStyle w:val="Fodnotetekst"/>
      </w:pPr>
      <w:r>
        <w:rPr>
          <w:rStyle w:val="Fodnotehenvisning"/>
        </w:rPr>
        <w:footnoteRef/>
      </w:r>
      <w:r>
        <w:t xml:space="preserve"> Jf. </w:t>
      </w:r>
      <w:r>
        <w:rPr>
          <w:sz w:val="18"/>
          <w:szCs w:val="18"/>
        </w:rPr>
        <w:t xml:space="preserve">Retten i Første Instans’ dom af 19. marts 2003 i sag </w:t>
      </w:r>
      <w:r w:rsidRPr="002E1AAC">
        <w:rPr>
          <w:sz w:val="18"/>
          <w:szCs w:val="18"/>
        </w:rPr>
        <w:t>T-213/00</w:t>
      </w:r>
      <w:r>
        <w:rPr>
          <w:sz w:val="18"/>
          <w:szCs w:val="18"/>
        </w:rPr>
        <w:t xml:space="preserve">, </w:t>
      </w:r>
      <w:r w:rsidRPr="00B249FB">
        <w:rPr>
          <w:sz w:val="18"/>
          <w:szCs w:val="18"/>
        </w:rPr>
        <w:t>CMA CGM</w:t>
      </w:r>
      <w:r>
        <w:rPr>
          <w:sz w:val="18"/>
          <w:szCs w:val="18"/>
        </w:rPr>
        <w:t>, præmis […].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B289F" w14:textId="77777777" w:rsidR="00840960" w:rsidRDefault="003A1F35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2336" behindDoc="1" locked="0" layoutInCell="1" allowOverlap="1" wp14:anchorId="6E4B28A0" wp14:editId="6E4B28A1">
          <wp:simplePos x="0" y="0"/>
          <wp:positionH relativeFrom="column">
            <wp:posOffset>1325245</wp:posOffset>
          </wp:positionH>
          <wp:positionV relativeFrom="paragraph">
            <wp:posOffset>-1116330</wp:posOffset>
          </wp:positionV>
          <wp:extent cx="3448685" cy="676275"/>
          <wp:effectExtent l="0" t="0" r="0" b="0"/>
          <wp:wrapNone/>
          <wp:docPr id="1" name="Billed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4868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120E8"/>
    <w:multiLevelType w:val="hybridMultilevel"/>
    <w:tmpl w:val="1A744844"/>
    <w:lvl w:ilvl="0" w:tplc="040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>
    <w:nsid w:val="2FA91D43"/>
    <w:multiLevelType w:val="singleLevel"/>
    <w:tmpl w:val="3B9885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u w:val="none"/>
      </w:rPr>
    </w:lvl>
  </w:abstractNum>
  <w:abstractNum w:abstractNumId="2">
    <w:nsid w:val="311C46BA"/>
    <w:multiLevelType w:val="singleLevel"/>
    <w:tmpl w:val="F9B66CE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u w:val="none"/>
      </w:rPr>
    </w:lvl>
  </w:abstractNum>
  <w:abstractNum w:abstractNumId="3">
    <w:nsid w:val="6883354C"/>
    <w:multiLevelType w:val="singleLevel"/>
    <w:tmpl w:val="523674C6"/>
    <w:lvl w:ilvl="0">
      <w:start w:val="11"/>
      <w:numFmt w:val="decimal"/>
      <w:pStyle w:val="Nummereretafsnit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u w:val="none"/>
      </w:rPr>
    </w:lvl>
  </w:abstractNum>
  <w:abstractNum w:abstractNumId="4">
    <w:nsid w:val="6CBC28D5"/>
    <w:multiLevelType w:val="hybridMultilevel"/>
    <w:tmpl w:val="4F4EF5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E16BB4"/>
    <w:multiLevelType w:val="hybridMultilevel"/>
    <w:tmpl w:val="65480B9E"/>
    <w:lvl w:ilvl="0" w:tplc="5F0473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color w:val="808080"/>
        <w:sz w:val="22"/>
        <w:szCs w:val="22"/>
        <w:u w:val="none"/>
        <w:effect w:val="none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1304"/>
  <w:autoHyphenation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615"/>
    <w:rsid w:val="001E553E"/>
    <w:rsid w:val="00291615"/>
    <w:rsid w:val="002F46C6"/>
    <w:rsid w:val="00310051"/>
    <w:rsid w:val="0034295E"/>
    <w:rsid w:val="00374E49"/>
    <w:rsid w:val="003A1F35"/>
    <w:rsid w:val="00404121"/>
    <w:rsid w:val="004237F3"/>
    <w:rsid w:val="00474CA4"/>
    <w:rsid w:val="004C6479"/>
    <w:rsid w:val="005571D1"/>
    <w:rsid w:val="00726321"/>
    <w:rsid w:val="00763BA0"/>
    <w:rsid w:val="00814DAE"/>
    <w:rsid w:val="008336B3"/>
    <w:rsid w:val="00840960"/>
    <w:rsid w:val="008D0C2F"/>
    <w:rsid w:val="00976855"/>
    <w:rsid w:val="009C420E"/>
    <w:rsid w:val="00A720E9"/>
    <w:rsid w:val="00AE3142"/>
    <w:rsid w:val="00AE3AA6"/>
    <w:rsid w:val="00B14F7C"/>
    <w:rsid w:val="00B60AFB"/>
    <w:rsid w:val="00B840AC"/>
    <w:rsid w:val="00B91F8E"/>
    <w:rsid w:val="00BB5E75"/>
    <w:rsid w:val="00C169BD"/>
    <w:rsid w:val="00D53669"/>
    <w:rsid w:val="00D74895"/>
    <w:rsid w:val="00D92B4A"/>
    <w:rsid w:val="00EC0AF4"/>
    <w:rsid w:val="00ED5F01"/>
    <w:rsid w:val="00F26F80"/>
    <w:rsid w:val="00F774EA"/>
    <w:rsid w:val="00FA6274"/>
    <w:rsid w:val="00FF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E4B28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274"/>
    <w:pPr>
      <w:spacing w:after="0" w:line="280" w:lineRule="exact"/>
    </w:pPr>
    <w:rPr>
      <w:rFonts w:ascii="Times New Roman" w:eastAsia="Times New Roman" w:hAnsi="Times New Roman" w:cs="Times New Roman"/>
      <w:sz w:val="24"/>
      <w:szCs w:val="20"/>
      <w:lang w:eastAsia="da-DK"/>
    </w:rPr>
  </w:style>
  <w:style w:type="paragraph" w:styleId="Overskrift1">
    <w:name w:val="heading 1"/>
    <w:basedOn w:val="Normal"/>
    <w:next w:val="Brdtekst"/>
    <w:link w:val="Overskrift1Tegn"/>
    <w:qFormat/>
    <w:rsid w:val="00BB5E75"/>
    <w:pPr>
      <w:keepNext/>
      <w:outlineLvl w:val="0"/>
    </w:pPr>
    <w:rPr>
      <w:b/>
    </w:rPr>
  </w:style>
  <w:style w:type="paragraph" w:styleId="Overskrift2">
    <w:name w:val="heading 2"/>
    <w:basedOn w:val="Normal"/>
    <w:next w:val="Normal"/>
    <w:link w:val="Overskrift2Tegn"/>
    <w:qFormat/>
    <w:rsid w:val="00FF466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B91F8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291615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291615"/>
  </w:style>
  <w:style w:type="paragraph" w:styleId="Sidefod">
    <w:name w:val="footer"/>
    <w:basedOn w:val="Normal"/>
    <w:link w:val="SidefodTegn"/>
    <w:uiPriority w:val="99"/>
    <w:unhideWhenUsed/>
    <w:rsid w:val="00291615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291615"/>
  </w:style>
  <w:style w:type="paragraph" w:customStyle="1" w:styleId="skakt">
    <w:name w:val="skakt"/>
    <w:basedOn w:val="Normal"/>
    <w:rsid w:val="00FA6274"/>
    <w:pPr>
      <w:framePr w:w="2268" w:h="8505" w:hSpace="142" w:wrap="around" w:vAnchor="text" w:hAnchor="page" w:x="8931" w:y="1" w:anchorLock="1"/>
    </w:pPr>
    <w:rPr>
      <w:rFonts w:ascii="Arial" w:hAnsi="Arial"/>
      <w:sz w:val="16"/>
    </w:rPr>
  </w:style>
  <w:style w:type="paragraph" w:customStyle="1" w:styleId="datomv">
    <w:name w:val="datomv"/>
    <w:basedOn w:val="skakt"/>
    <w:rsid w:val="00FA6274"/>
    <w:pPr>
      <w:framePr w:w="0" w:hRule="auto" w:wrap="around" w:x="9073"/>
    </w:pPr>
    <w:rPr>
      <w:rFonts w:ascii="Times New Roman" w:hAnsi="Times New Roman"/>
      <w:sz w:val="24"/>
    </w:rPr>
  </w:style>
  <w:style w:type="character" w:styleId="Pladsholdertekst">
    <w:name w:val="Placeholder Text"/>
    <w:basedOn w:val="Standardskrifttypeiafsnit"/>
    <w:uiPriority w:val="99"/>
    <w:semiHidden/>
    <w:rsid w:val="00FA6274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A62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A6274"/>
    <w:rPr>
      <w:rFonts w:ascii="Tahoma" w:eastAsia="Times New Roman" w:hAnsi="Tahoma" w:cs="Tahoma"/>
      <w:sz w:val="16"/>
      <w:szCs w:val="16"/>
      <w:lang w:eastAsia="da-DK"/>
    </w:rPr>
  </w:style>
  <w:style w:type="character" w:customStyle="1" w:styleId="Overskrift1Tegn">
    <w:name w:val="Overskrift 1 Tegn"/>
    <w:basedOn w:val="Standardskrifttypeiafsnit"/>
    <w:link w:val="Overskrift1"/>
    <w:rsid w:val="00BB5E75"/>
    <w:rPr>
      <w:rFonts w:ascii="Times New Roman" w:eastAsia="Times New Roman" w:hAnsi="Times New Roman" w:cs="Times New Roman"/>
      <w:b/>
      <w:sz w:val="24"/>
      <w:szCs w:val="20"/>
      <w:lang w:eastAsia="da-DK"/>
    </w:rPr>
  </w:style>
  <w:style w:type="paragraph" w:styleId="Brdtekst">
    <w:name w:val="Body Text"/>
    <w:basedOn w:val="Normal"/>
    <w:link w:val="BrdtekstTegn"/>
    <w:uiPriority w:val="99"/>
    <w:semiHidden/>
    <w:unhideWhenUsed/>
    <w:rsid w:val="00BB5E75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BB5E75"/>
    <w:rPr>
      <w:rFonts w:ascii="Times New Roman" w:eastAsia="Times New Roman" w:hAnsi="Times New Roman" w:cs="Times New Roman"/>
      <w:sz w:val="24"/>
      <w:szCs w:val="20"/>
      <w:lang w:eastAsia="da-DK"/>
    </w:rPr>
  </w:style>
  <w:style w:type="character" w:customStyle="1" w:styleId="Overskrift2Tegn">
    <w:name w:val="Overskrift 2 Tegn"/>
    <w:basedOn w:val="Standardskrifttypeiafsnit"/>
    <w:link w:val="Overskrift2"/>
    <w:rsid w:val="00FF4662"/>
    <w:rPr>
      <w:rFonts w:ascii="Arial" w:eastAsia="Times New Roman" w:hAnsi="Arial" w:cs="Arial"/>
      <w:b/>
      <w:bCs/>
      <w:i/>
      <w:iCs/>
      <w:sz w:val="28"/>
      <w:szCs w:val="28"/>
      <w:lang w:eastAsia="da-DK"/>
    </w:rPr>
  </w:style>
  <w:style w:type="paragraph" w:customStyle="1" w:styleId="modt">
    <w:name w:val="modt"/>
    <w:basedOn w:val="Normal"/>
    <w:rsid w:val="00FF4662"/>
    <w:rPr>
      <w:sz w:val="22"/>
    </w:rPr>
  </w:style>
  <w:style w:type="paragraph" w:styleId="Fodnotetekst">
    <w:name w:val="footnote text"/>
    <w:basedOn w:val="Normal"/>
    <w:link w:val="FodnotetekstTegn"/>
    <w:semiHidden/>
    <w:rsid w:val="00FF4662"/>
    <w:rPr>
      <w:sz w:val="20"/>
    </w:rPr>
  </w:style>
  <w:style w:type="character" w:customStyle="1" w:styleId="FodnotetekstTegn">
    <w:name w:val="Fodnotetekst Tegn"/>
    <w:basedOn w:val="Standardskrifttypeiafsnit"/>
    <w:link w:val="Fodnotetekst"/>
    <w:semiHidden/>
    <w:rsid w:val="00FF4662"/>
    <w:rPr>
      <w:rFonts w:ascii="Times New Roman" w:eastAsia="Times New Roman" w:hAnsi="Times New Roman" w:cs="Times New Roman"/>
      <w:sz w:val="20"/>
      <w:szCs w:val="20"/>
      <w:lang w:eastAsia="da-DK"/>
    </w:rPr>
  </w:style>
  <w:style w:type="character" w:styleId="Fodnotehenvisning">
    <w:name w:val="footnote reference"/>
    <w:basedOn w:val="Standardskrifttypeiafsnit"/>
    <w:semiHidden/>
    <w:rsid w:val="00FF4662"/>
    <w:rPr>
      <w:vertAlign w:val="superscript"/>
    </w:rPr>
  </w:style>
  <w:style w:type="paragraph" w:styleId="Brdtekst3">
    <w:name w:val="Body Text 3"/>
    <w:basedOn w:val="Normal"/>
    <w:link w:val="Brdtekst3Tegn"/>
    <w:rsid w:val="00FF4662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rsid w:val="00FF4662"/>
    <w:rPr>
      <w:rFonts w:ascii="Times New Roman" w:eastAsia="Times New Roman" w:hAnsi="Times New Roman" w:cs="Times New Roman"/>
      <w:sz w:val="16"/>
      <w:szCs w:val="16"/>
      <w:lang w:eastAsia="da-DK"/>
    </w:rPr>
  </w:style>
  <w:style w:type="paragraph" w:customStyle="1" w:styleId="Nummereretafsnit">
    <w:name w:val="Nummereret afsnit"/>
    <w:basedOn w:val="Brdtekst"/>
    <w:autoRedefine/>
    <w:rsid w:val="00FF4662"/>
    <w:pPr>
      <w:numPr>
        <w:numId w:val="3"/>
      </w:numPr>
      <w:tabs>
        <w:tab w:val="left" w:pos="720"/>
      </w:tabs>
      <w:spacing w:after="240" w:line="240" w:lineRule="auto"/>
      <w:jc w:val="both"/>
    </w:pPr>
    <w:rPr>
      <w:i/>
      <w:sz w:val="22"/>
    </w:rPr>
  </w:style>
  <w:style w:type="character" w:customStyle="1" w:styleId="Overskrift3Tegn">
    <w:name w:val="Overskrift 3 Tegn"/>
    <w:basedOn w:val="Standardskrifttypeiafsnit"/>
    <w:link w:val="Overskrift3"/>
    <w:rsid w:val="00B91F8E"/>
    <w:rPr>
      <w:rFonts w:ascii="Arial" w:eastAsia="Times New Roman" w:hAnsi="Arial" w:cs="Arial"/>
      <w:b/>
      <w:bCs/>
      <w:sz w:val="26"/>
      <w:szCs w:val="26"/>
      <w:lang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274"/>
    <w:pPr>
      <w:spacing w:after="0" w:line="280" w:lineRule="exact"/>
    </w:pPr>
    <w:rPr>
      <w:rFonts w:ascii="Times New Roman" w:eastAsia="Times New Roman" w:hAnsi="Times New Roman" w:cs="Times New Roman"/>
      <w:sz w:val="24"/>
      <w:szCs w:val="20"/>
      <w:lang w:eastAsia="da-DK"/>
    </w:rPr>
  </w:style>
  <w:style w:type="paragraph" w:styleId="Overskrift1">
    <w:name w:val="heading 1"/>
    <w:basedOn w:val="Normal"/>
    <w:next w:val="Brdtekst"/>
    <w:link w:val="Overskrift1Tegn"/>
    <w:qFormat/>
    <w:rsid w:val="00BB5E75"/>
    <w:pPr>
      <w:keepNext/>
      <w:outlineLvl w:val="0"/>
    </w:pPr>
    <w:rPr>
      <w:b/>
    </w:rPr>
  </w:style>
  <w:style w:type="paragraph" w:styleId="Overskrift2">
    <w:name w:val="heading 2"/>
    <w:basedOn w:val="Normal"/>
    <w:next w:val="Normal"/>
    <w:link w:val="Overskrift2Tegn"/>
    <w:qFormat/>
    <w:rsid w:val="00FF466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B91F8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291615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291615"/>
  </w:style>
  <w:style w:type="paragraph" w:styleId="Sidefod">
    <w:name w:val="footer"/>
    <w:basedOn w:val="Normal"/>
    <w:link w:val="SidefodTegn"/>
    <w:uiPriority w:val="99"/>
    <w:unhideWhenUsed/>
    <w:rsid w:val="00291615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291615"/>
  </w:style>
  <w:style w:type="paragraph" w:customStyle="1" w:styleId="skakt">
    <w:name w:val="skakt"/>
    <w:basedOn w:val="Normal"/>
    <w:rsid w:val="00FA6274"/>
    <w:pPr>
      <w:framePr w:w="2268" w:h="8505" w:hSpace="142" w:wrap="around" w:vAnchor="text" w:hAnchor="page" w:x="8931" w:y="1" w:anchorLock="1"/>
    </w:pPr>
    <w:rPr>
      <w:rFonts w:ascii="Arial" w:hAnsi="Arial"/>
      <w:sz w:val="16"/>
    </w:rPr>
  </w:style>
  <w:style w:type="paragraph" w:customStyle="1" w:styleId="datomv">
    <w:name w:val="datomv"/>
    <w:basedOn w:val="skakt"/>
    <w:rsid w:val="00FA6274"/>
    <w:pPr>
      <w:framePr w:w="0" w:hRule="auto" w:wrap="around" w:x="9073"/>
    </w:pPr>
    <w:rPr>
      <w:rFonts w:ascii="Times New Roman" w:hAnsi="Times New Roman"/>
      <w:sz w:val="24"/>
    </w:rPr>
  </w:style>
  <w:style w:type="character" w:styleId="Pladsholdertekst">
    <w:name w:val="Placeholder Text"/>
    <w:basedOn w:val="Standardskrifttypeiafsnit"/>
    <w:uiPriority w:val="99"/>
    <w:semiHidden/>
    <w:rsid w:val="00FA6274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A62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A6274"/>
    <w:rPr>
      <w:rFonts w:ascii="Tahoma" w:eastAsia="Times New Roman" w:hAnsi="Tahoma" w:cs="Tahoma"/>
      <w:sz w:val="16"/>
      <w:szCs w:val="16"/>
      <w:lang w:eastAsia="da-DK"/>
    </w:rPr>
  </w:style>
  <w:style w:type="character" w:customStyle="1" w:styleId="Overskrift1Tegn">
    <w:name w:val="Overskrift 1 Tegn"/>
    <w:basedOn w:val="Standardskrifttypeiafsnit"/>
    <w:link w:val="Overskrift1"/>
    <w:rsid w:val="00BB5E75"/>
    <w:rPr>
      <w:rFonts w:ascii="Times New Roman" w:eastAsia="Times New Roman" w:hAnsi="Times New Roman" w:cs="Times New Roman"/>
      <w:b/>
      <w:sz w:val="24"/>
      <w:szCs w:val="20"/>
      <w:lang w:eastAsia="da-DK"/>
    </w:rPr>
  </w:style>
  <w:style w:type="paragraph" w:styleId="Brdtekst">
    <w:name w:val="Body Text"/>
    <w:basedOn w:val="Normal"/>
    <w:link w:val="BrdtekstTegn"/>
    <w:uiPriority w:val="99"/>
    <w:semiHidden/>
    <w:unhideWhenUsed/>
    <w:rsid w:val="00BB5E75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BB5E75"/>
    <w:rPr>
      <w:rFonts w:ascii="Times New Roman" w:eastAsia="Times New Roman" w:hAnsi="Times New Roman" w:cs="Times New Roman"/>
      <w:sz w:val="24"/>
      <w:szCs w:val="20"/>
      <w:lang w:eastAsia="da-DK"/>
    </w:rPr>
  </w:style>
  <w:style w:type="character" w:customStyle="1" w:styleId="Overskrift2Tegn">
    <w:name w:val="Overskrift 2 Tegn"/>
    <w:basedOn w:val="Standardskrifttypeiafsnit"/>
    <w:link w:val="Overskrift2"/>
    <w:rsid w:val="00FF4662"/>
    <w:rPr>
      <w:rFonts w:ascii="Arial" w:eastAsia="Times New Roman" w:hAnsi="Arial" w:cs="Arial"/>
      <w:b/>
      <w:bCs/>
      <w:i/>
      <w:iCs/>
      <w:sz w:val="28"/>
      <w:szCs w:val="28"/>
      <w:lang w:eastAsia="da-DK"/>
    </w:rPr>
  </w:style>
  <w:style w:type="paragraph" w:customStyle="1" w:styleId="modt">
    <w:name w:val="modt"/>
    <w:basedOn w:val="Normal"/>
    <w:rsid w:val="00FF4662"/>
    <w:rPr>
      <w:sz w:val="22"/>
    </w:rPr>
  </w:style>
  <w:style w:type="paragraph" w:styleId="Fodnotetekst">
    <w:name w:val="footnote text"/>
    <w:basedOn w:val="Normal"/>
    <w:link w:val="FodnotetekstTegn"/>
    <w:semiHidden/>
    <w:rsid w:val="00FF4662"/>
    <w:rPr>
      <w:sz w:val="20"/>
    </w:rPr>
  </w:style>
  <w:style w:type="character" w:customStyle="1" w:styleId="FodnotetekstTegn">
    <w:name w:val="Fodnotetekst Tegn"/>
    <w:basedOn w:val="Standardskrifttypeiafsnit"/>
    <w:link w:val="Fodnotetekst"/>
    <w:semiHidden/>
    <w:rsid w:val="00FF4662"/>
    <w:rPr>
      <w:rFonts w:ascii="Times New Roman" w:eastAsia="Times New Roman" w:hAnsi="Times New Roman" w:cs="Times New Roman"/>
      <w:sz w:val="20"/>
      <w:szCs w:val="20"/>
      <w:lang w:eastAsia="da-DK"/>
    </w:rPr>
  </w:style>
  <w:style w:type="character" w:styleId="Fodnotehenvisning">
    <w:name w:val="footnote reference"/>
    <w:basedOn w:val="Standardskrifttypeiafsnit"/>
    <w:semiHidden/>
    <w:rsid w:val="00FF4662"/>
    <w:rPr>
      <w:vertAlign w:val="superscript"/>
    </w:rPr>
  </w:style>
  <w:style w:type="paragraph" w:styleId="Brdtekst3">
    <w:name w:val="Body Text 3"/>
    <w:basedOn w:val="Normal"/>
    <w:link w:val="Brdtekst3Tegn"/>
    <w:rsid w:val="00FF4662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rsid w:val="00FF4662"/>
    <w:rPr>
      <w:rFonts w:ascii="Times New Roman" w:eastAsia="Times New Roman" w:hAnsi="Times New Roman" w:cs="Times New Roman"/>
      <w:sz w:val="16"/>
      <w:szCs w:val="16"/>
      <w:lang w:eastAsia="da-DK"/>
    </w:rPr>
  </w:style>
  <w:style w:type="paragraph" w:customStyle="1" w:styleId="Nummereretafsnit">
    <w:name w:val="Nummereret afsnit"/>
    <w:basedOn w:val="Brdtekst"/>
    <w:autoRedefine/>
    <w:rsid w:val="00FF4662"/>
    <w:pPr>
      <w:numPr>
        <w:numId w:val="3"/>
      </w:numPr>
      <w:tabs>
        <w:tab w:val="left" w:pos="720"/>
      </w:tabs>
      <w:spacing w:after="240" w:line="240" w:lineRule="auto"/>
      <w:jc w:val="both"/>
    </w:pPr>
    <w:rPr>
      <w:i/>
      <w:sz w:val="22"/>
    </w:rPr>
  </w:style>
  <w:style w:type="character" w:customStyle="1" w:styleId="Overskrift3Tegn">
    <w:name w:val="Overskrift 3 Tegn"/>
    <w:basedOn w:val="Standardskrifttypeiafsnit"/>
    <w:link w:val="Overskrift3"/>
    <w:rsid w:val="00B91F8E"/>
    <w:rPr>
      <w:rFonts w:ascii="Arial" w:eastAsia="Times New Roman" w:hAnsi="Arial" w:cs="Arial"/>
      <w:b/>
      <w:bCs/>
      <w:sz w:val="26"/>
      <w:szCs w:val="26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://esdh-evm-kfst/360templates/_KAN-Konkurrencer&#229;dets%20sammenfattende%20processkrift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1818641" gbs:entity="Document" gbs:templateDesignerVersion="3.1 F">
  <gbs:DocumentDate gbs:loadFromGrowBusiness="OnProduce" gbs:saveInGrowBusiness="False" gbs:connected="true" gbs:recno="" gbs:entity="" gbs:datatype="date" gbs:key="10000">2017-12-19T00:00:00</gbs:DocumentDate>
  <gbs:DocumentDate gbs:loadFromGrowBusiness="OnProduce" gbs:saveInGrowBusiness="False" gbs:connected="true" gbs:recno="" gbs:entity="" gbs:datatype="date" gbs:key="10001">2017-12-19T00:00:00</gbs:DocumentDate>
  <gbs:ExternalSiteId gbs:loadFromGrowBusiness="OnProduce" gbs:saveInGrowBusiness="False" gbs:connected="true" gbs:recno="" gbs:entity="" gbs:datatype="string" gbs:key="10002">
  </gbs:ExternalSiteId>
  <gbs:DocumentNumber gbs:loadFromGrowBusiness="OnProduce" gbs:saveInGrowBusiness="False" gbs:connected="true" gbs:recno="" gbs:entity="" gbs:datatype="string" gbs:key="10003">16/03777-5</gbs:DocumentNumber>
  <gbs:ToOrgUnit.Name gbs:loadFromGrowBusiness="OnProduce" gbs:saveInGrowBusiness="False" gbs:connected="true" gbs:recno="" gbs:entity="" gbs:datatype="string" gbs:key="10004" gbs:removeContentControl="0">KJUR</gbs:ToOrgUnit.Name>
  <gbs:OurRef.Initials gbs:loadFromGrowBusiness="OnProduce" gbs:saveInGrowBusiness="False" gbs:connected="true" gbs:recno="" gbs:entity="" gbs:datatype="string" gbs:key="10005" gbs:removeContentControl="0">VU</gbs:OurRef.Initials>
  <gbs:OurRef.Initials gbs:loadFromGrowBusiness="OnProduce" gbs:saveInGrowBusiness="False" gbs:connected="true" gbs:recno="" gbs:entity="" gbs:datatype="string" gbs:key="10006" gbs:removeContentControl="0">VU</gbs:OurRef.Initials>
  <gbs:OurRef.Initials gbs:loadFromGrowBusiness="OnProduce" gbs:saveInGrowBusiness="False" gbs:connected="true" gbs:recno="" gbs:entity="" gbs:datatype="string" gbs:key="10007">VU</gbs:OurRef.Initials>
  <gbs:OurRef.Name gbs:loadFromGrowBusiness="OnProduce" gbs:saveInGrowBusiness="False" gbs:connected="true" gbs:recno="" gbs:entity="" gbs:datatype="string" gbs:key="10008">Vibeke Ulf Dumrath</gbs:OurRef.Name>
  <gbs:DocumentDate gbs:loadFromGrowBusiness="OnProduce" gbs:saveInGrowBusiness="False" gbs:connected="true" gbs:recno="" gbs:entity="" gbs:datatype="date" gbs:key="10009">2017-12-19T00:00:00</gbs:DocumentDate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8F031-D4A1-4968-851D-41DA4213597B}">
  <ds:schemaRefs/>
</ds:datastoreItem>
</file>

<file path=customXml/itemProps2.xml><?xml version="1.0" encoding="utf-8"?>
<ds:datastoreItem xmlns:ds="http://schemas.openxmlformats.org/officeDocument/2006/customXml" ds:itemID="{81A6AD4F-29C8-4F20-93D2-6AC02BDA7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_KAN-Konkurrencerådets%20sammenfattende%20processkrift.dotx</Template>
  <TotalTime>1</TotalTime>
  <Pages>4</Pages>
  <Words>664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4706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Hanne Colberg</dc:creator>
  <cp:lastModifiedBy>Hanne Colberg</cp:lastModifiedBy>
  <cp:revision>2</cp:revision>
  <dcterms:created xsi:type="dcterms:W3CDTF">2017-12-19T09:31:00Z</dcterms:created>
  <dcterms:modified xsi:type="dcterms:W3CDTF">2017-12-19T09:31:00Z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1818641</vt:lpwstr>
  </property>
  <property fmtid="{D5CDD505-2E9C-101B-9397-08002B2CF9AE}" pid="3" name="verId">
    <vt:lpwstr>1774762</vt:lpwstr>
  </property>
  <property fmtid="{D5CDD505-2E9C-101B-9397-08002B2CF9AE}" pid="4" name="templateId">
    <vt:lpwstr>200483</vt:lpwstr>
  </property>
  <property fmtid="{D5CDD505-2E9C-101B-9397-08002B2CF9AE}" pid="5" name="fileId">
    <vt:lpwstr>3059167</vt:lpwstr>
  </property>
  <property fmtid="{D5CDD505-2E9C-101B-9397-08002B2CF9AE}" pid="6" name="filePath">
    <vt:lpwstr>\\localhost@80\PersonalLibraries\prod\b002743\checked out files</vt:lpwstr>
  </property>
  <property fmtid="{D5CDD505-2E9C-101B-9397-08002B2CF9AE}" pid="7" name="templateFilePath">
    <vt:lpwstr>\\PB-2204-FILP01\docprod\templates\_KAN-Konkurrencerådets sammenfattende processkrift.dotx</vt:lpwstr>
  </property>
  <property fmtid="{D5CDD505-2E9C-101B-9397-08002B2CF9AE}" pid="8" name="filePathOneNote">
    <vt:lpwstr>\\pb-2204-filp01\Docprod\Temp_User\onenote\prod\b002743\</vt:lpwstr>
  </property>
  <property fmtid="{D5CDD505-2E9C-101B-9397-08002B2CF9AE}" pid="9" name="fileName">
    <vt:lpwstr>16-03777-5 dkdfjklæd 3059167_1_0.docx</vt:lpwstr>
  </property>
  <property fmtid="{D5CDD505-2E9C-101B-9397-08002B2CF9AE}" pid="10" name="comment">
    <vt:lpwstr>dkdfjklæd</vt:lpwstr>
  </property>
  <property fmtid="{D5CDD505-2E9C-101B-9397-08002B2CF9AE}" pid="11" name="sourceId">
    <vt:lpwstr>1818641</vt:lpwstr>
  </property>
  <property fmtid="{D5CDD505-2E9C-101B-9397-08002B2CF9AE}" pid="12" name="module">
    <vt:lpwstr>Document</vt:lpwstr>
  </property>
  <property fmtid="{D5CDD505-2E9C-101B-9397-08002B2CF9AE}" pid="13" name="customParams">
    <vt:lpwstr>
    </vt:lpwstr>
  </property>
  <property fmtid="{D5CDD505-2E9C-101B-9397-08002B2CF9AE}" pid="14" name="createdBy">
    <vt:lpwstr>Hanne Colberg</vt:lpwstr>
  </property>
  <property fmtid="{D5CDD505-2E9C-101B-9397-08002B2CF9AE}" pid="15" name="modifiedBy">
    <vt:lpwstr>Hanne Colberg</vt:lpwstr>
  </property>
  <property fmtid="{D5CDD505-2E9C-101B-9397-08002B2CF9AE}" pid="16" name="serverName">
    <vt:lpwstr>esdh-evm-kfst</vt:lpwstr>
  </property>
  <property fmtid="{D5CDD505-2E9C-101B-9397-08002B2CF9AE}" pid="17" name="server">
    <vt:lpwstr>esdh-evm-kfst</vt:lpwstr>
  </property>
  <property fmtid="{D5CDD505-2E9C-101B-9397-08002B2CF9AE}" pid="18" name="protocol">
    <vt:lpwstr>off</vt:lpwstr>
  </property>
  <property fmtid="{D5CDD505-2E9C-101B-9397-08002B2CF9AE}" pid="19" name="site">
    <vt:lpwstr>/locator.aspx</vt:lpwstr>
  </property>
  <property fmtid="{D5CDD505-2E9C-101B-9397-08002B2CF9AE}" pid="20" name="externalUser">
    <vt:lpwstr>
    </vt:lpwstr>
  </property>
  <property fmtid="{D5CDD505-2E9C-101B-9397-08002B2CF9AE}" pid="21" name="currentVerId">
    <vt:lpwstr>1774762</vt:lpwstr>
  </property>
  <property fmtid="{D5CDD505-2E9C-101B-9397-08002B2CF9AE}" pid="22" name="Operation">
    <vt:lpwstr>ProduceFile</vt:lpwstr>
  </property>
</Properties>
</file>